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596A2C">
      <w:pPr>
        <w:pStyle w:val="2"/>
        <w:rPr>
          <w:rFonts w:hint="eastAsia" w:ascii="Times New Roman" w:hAnsi="Times New Roman" w:eastAsia="方正小标宋简体" w:cs="Times New Roman"/>
          <w:color w:val="auto"/>
          <w:kern w:val="2"/>
          <w:sz w:val="72"/>
          <w:szCs w:val="72"/>
          <w:highlight w:val="none"/>
          <w:lang w:val="en-US" w:eastAsia="zh-CN" w:bidi="ar-SA"/>
        </w:rPr>
      </w:pPr>
      <w:bookmarkStart w:id="0" w:name="_Toc15396597"/>
      <w:bookmarkStart w:id="1" w:name="_Toc15378441"/>
      <w:bookmarkStart w:id="2" w:name="_Toc15396475"/>
      <w:bookmarkStart w:id="3" w:name="_Toc15377425"/>
      <w:bookmarkStart w:id="4" w:name="_Toc15306267"/>
      <w:bookmarkStart w:id="5" w:name="_Toc15377193"/>
    </w:p>
    <w:p w14:paraId="6001214F">
      <w:pPr>
        <w:pStyle w:val="2"/>
        <w:rPr>
          <w:rFonts w:hint="eastAsia" w:ascii="Times New Roman" w:hAnsi="Times New Roman" w:eastAsia="方正小标宋简体" w:cs="Times New Roman"/>
          <w:color w:val="auto"/>
          <w:kern w:val="2"/>
          <w:sz w:val="72"/>
          <w:szCs w:val="72"/>
          <w:highlight w:val="none"/>
          <w:lang w:val="en-US" w:eastAsia="zh-CN" w:bidi="ar-SA"/>
        </w:rPr>
      </w:pPr>
    </w:p>
    <w:p w14:paraId="213CC9B8">
      <w:pPr>
        <w:rPr>
          <w:rFonts w:ascii="Times New Roman" w:hAnsi="Times New Roman"/>
        </w:rPr>
      </w:pPr>
    </w:p>
    <w:p w14:paraId="57B953DA">
      <w:pPr>
        <w:pStyle w:val="2"/>
        <w:jc w:val="center"/>
        <w:rPr>
          <w:rFonts w:hint="eastAsia" w:ascii="Times New Roman" w:hAnsi="Times New Roman" w:eastAsia="方正小标宋简体" w:cs="Times New Roman"/>
          <w:color w:val="auto"/>
          <w:kern w:val="2"/>
          <w:sz w:val="44"/>
          <w:szCs w:val="44"/>
          <w:highlight w:val="none"/>
          <w:lang w:val="en-US" w:eastAsia="zh-CN" w:bidi="ar-SA"/>
        </w:rPr>
      </w:pPr>
    </w:p>
    <w:p w14:paraId="2E1D9449">
      <w:pPr>
        <w:pStyle w:val="2"/>
        <w:jc w:val="center"/>
        <w:rPr>
          <w:rFonts w:hint="eastAsia" w:ascii="Times New Roman" w:hAnsi="Times New Roman" w:eastAsia="方正小标宋简体" w:cs="Times New Roman"/>
          <w:color w:val="auto"/>
          <w:kern w:val="2"/>
          <w:sz w:val="44"/>
          <w:szCs w:val="44"/>
          <w:highlight w:val="none"/>
          <w:lang w:val="en-US" w:eastAsia="zh-CN" w:bidi="ar-SA"/>
        </w:rPr>
      </w:pPr>
    </w:p>
    <w:bookmarkEnd w:id="0"/>
    <w:bookmarkEnd w:id="1"/>
    <w:bookmarkEnd w:id="2"/>
    <w:bookmarkEnd w:id="3"/>
    <w:bookmarkEnd w:id="4"/>
    <w:bookmarkEnd w:id="5"/>
    <w:p w14:paraId="205F9394">
      <w:pPr>
        <w:suppressAutoHyphens w:val="0"/>
        <w:adjustRightInd w:val="0"/>
        <w:snapToGrid w:val="0"/>
        <w:spacing w:line="360" w:lineRule="auto"/>
        <w:jc w:val="center"/>
        <w:outlineLvl w:val="9"/>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w:t>
      </w:r>
      <w:r>
        <w:rPr>
          <w:rFonts w:hint="eastAsia" w:ascii="方正小标宋简体" w:hAnsi="方正小标宋简体" w:eastAsia="方正小标宋简体" w:cs="方正小标宋简体"/>
          <w:sz w:val="72"/>
          <w:szCs w:val="72"/>
          <w:lang w:val="en-US" w:eastAsia="zh-CN"/>
        </w:rPr>
        <w:t>4</w:t>
      </w:r>
      <w:r>
        <w:rPr>
          <w:rFonts w:hint="eastAsia" w:ascii="方正小标宋简体" w:hAnsi="方正小标宋简体" w:eastAsia="方正小标宋简体" w:cs="方正小标宋简体"/>
          <w:sz w:val="72"/>
          <w:szCs w:val="72"/>
        </w:rPr>
        <w:t>年度</w:t>
      </w:r>
    </w:p>
    <w:p w14:paraId="6E73E8A8">
      <w:pPr>
        <w:suppressAutoHyphens w:val="0"/>
        <w:adjustRightInd w:val="0"/>
        <w:snapToGrid w:val="0"/>
        <w:spacing w:line="360" w:lineRule="auto"/>
        <w:jc w:val="center"/>
        <w:outlineLvl w:val="9"/>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凉山州农业学校单位决算</w:t>
      </w:r>
    </w:p>
    <w:p w14:paraId="67A138D8">
      <w:pPr>
        <w:widowControl/>
        <w:jc w:val="center"/>
        <w:rPr>
          <w:rFonts w:ascii="Times New Roman" w:hAnsi="Times New Roman" w:eastAsia="黑体"/>
          <w:color w:val="auto"/>
          <w:sz w:val="48"/>
          <w:szCs w:val="48"/>
          <w:highlight w:val="none"/>
        </w:rPr>
      </w:pPr>
      <w:r>
        <w:rPr>
          <w:rFonts w:ascii="Times New Roman" w:hAnsi="Times New Roman" w:eastAsia="方正小标宋简体"/>
          <w:color w:val="auto"/>
          <w:sz w:val="36"/>
          <w:szCs w:val="36"/>
          <w:highlight w:val="none"/>
        </w:rPr>
        <w:br w:type="page"/>
      </w:r>
      <w:r>
        <w:rPr>
          <w:rFonts w:hint="eastAsia" w:ascii="Times New Roman" w:hAnsi="Times New Roman" w:eastAsia="黑体"/>
          <w:color w:val="auto"/>
          <w:sz w:val="48"/>
          <w:szCs w:val="48"/>
          <w:highlight w:val="none"/>
        </w:rPr>
        <w:t>目录</w:t>
      </w:r>
    </w:p>
    <w:p w14:paraId="12B95118">
      <w:pPr>
        <w:widowControl/>
        <w:jc w:val="center"/>
        <w:rPr>
          <w:rFonts w:ascii="Times New Roman" w:hAnsi="Times New Roman" w:eastAsia="黑体" w:cstheme="minorBidi"/>
          <w:color w:val="auto"/>
          <w:sz w:val="28"/>
          <w:szCs w:val="28"/>
          <w:highlight w:val="none"/>
        </w:rPr>
      </w:pPr>
    </w:p>
    <w:p w14:paraId="1137CF7F">
      <w:pPr>
        <w:pStyle w:val="12"/>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公开时间：20</w:t>
      </w:r>
      <w:r>
        <w:rPr>
          <w:rFonts w:hint="eastAsia" w:ascii="Times New Roman" w:hAnsi="Times New Roman" w:eastAsia="仿宋_GB2312" w:cs="仿宋_GB2312"/>
          <w:color w:val="auto"/>
          <w:sz w:val="32"/>
          <w:szCs w:val="32"/>
          <w:highlight w:val="none"/>
          <w:lang w:val="en-US" w:eastAsia="zh-CN"/>
        </w:rPr>
        <w:t>25</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9</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24</w:t>
      </w:r>
      <w:r>
        <w:rPr>
          <w:rFonts w:hint="eastAsia" w:ascii="Times New Roman" w:hAnsi="Times New Roman" w:eastAsia="仿宋_GB2312" w:cs="仿宋_GB2312"/>
          <w:color w:val="auto"/>
          <w:sz w:val="32"/>
          <w:szCs w:val="32"/>
          <w:highlight w:val="none"/>
        </w:rPr>
        <w:t>日</w:t>
      </w:r>
    </w:p>
    <w:p w14:paraId="6F741D54">
      <w:pPr>
        <w:keepNext w:val="0"/>
        <w:keepLines w:val="0"/>
        <w:pageBreakBefore w:val="0"/>
        <w:widowControl w:val="0"/>
        <w:tabs>
          <w:tab w:val="right" w:leader="middleDot" w:pos="420"/>
          <w:tab w:val="right" w:leader="middleDot" w:pos="1155"/>
          <w:tab w:val="right" w:leader="middleDot" w:pos="8400"/>
        </w:tabs>
        <w:kinsoku/>
        <w:wordWrap/>
        <w:overflowPunct/>
        <w:topLinePunct w:val="0"/>
        <w:autoSpaceDE/>
        <w:autoSpaceDN/>
        <w:bidi w:val="0"/>
        <w:textAlignment w:val="auto"/>
        <w:rPr>
          <w:rFonts w:ascii="Times New Roman" w:hAnsi="Times New Roman"/>
          <w:color w:val="auto"/>
          <w:highlight w:val="none"/>
        </w:rPr>
      </w:pPr>
    </w:p>
    <w:p w14:paraId="5F8C699C">
      <w:pPr>
        <w:pStyle w:val="12"/>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before="0" w:line="44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 xml:space="preserve">第一部分 </w:t>
      </w:r>
      <w:r>
        <w:rPr>
          <w:rFonts w:hint="eastAsia" w:ascii="Times New Roman" w:hAnsi="Times New Roman" w:eastAsia="黑体" w:cs="黑体"/>
          <w:color w:val="auto"/>
          <w:sz w:val="32"/>
          <w:szCs w:val="32"/>
          <w:highlight w:val="none"/>
          <w:lang w:val="en-US" w:eastAsia="zh-CN"/>
        </w:rPr>
        <w:t>单位</w:t>
      </w:r>
      <w:r>
        <w:rPr>
          <w:rFonts w:hint="eastAsia" w:ascii="Times New Roman" w:hAnsi="Times New Roman" w:eastAsia="黑体" w:cs="黑体"/>
          <w:color w:val="auto"/>
          <w:sz w:val="32"/>
          <w:szCs w:val="32"/>
          <w:highlight w:val="none"/>
        </w:rPr>
        <w:t>概况</w:t>
      </w:r>
    </w:p>
    <w:p w14:paraId="75A8688A">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一、</w:t>
      </w:r>
      <w:r>
        <w:rPr>
          <w:rFonts w:hint="eastAsia" w:eastAsia="仿宋_GB2312" w:cs="仿宋_GB2312"/>
          <w:color w:val="auto"/>
          <w:sz w:val="32"/>
          <w:szCs w:val="32"/>
          <w:highlight w:val="none"/>
          <w:lang w:val="en-US" w:eastAsia="zh-CN"/>
        </w:rPr>
        <w:t>单位</w:t>
      </w:r>
      <w:r>
        <w:rPr>
          <w:rFonts w:hint="eastAsia" w:ascii="Times New Roman" w:hAnsi="Times New Roman" w:eastAsia="仿宋_GB2312" w:cs="仿宋_GB2312"/>
          <w:color w:val="auto"/>
          <w:sz w:val="32"/>
          <w:szCs w:val="32"/>
          <w:highlight w:val="none"/>
          <w:lang w:eastAsia="zh-CN"/>
        </w:rPr>
        <w:t>职责</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4</w:t>
      </w:r>
    </w:p>
    <w:p w14:paraId="724C5D13">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二、机构设置</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4</w:t>
      </w:r>
    </w:p>
    <w:p w14:paraId="63B9650F">
      <w:pPr>
        <w:pStyle w:val="12"/>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before="0" w:line="440" w:lineRule="exact"/>
        <w:jc w:val="left"/>
        <w:textAlignment w:val="auto"/>
        <w:rPr>
          <w:rFonts w:hint="default" w:ascii="Times New Roman" w:hAnsi="Times New Roman" w:eastAsia="黑体" w:cs="黑体"/>
          <w:color w:val="auto"/>
          <w:sz w:val="32"/>
          <w:szCs w:val="32"/>
          <w:highlight w:val="none"/>
          <w:lang w:val="en-US"/>
        </w:rPr>
      </w:pPr>
      <w:r>
        <w:rPr>
          <w:rFonts w:hint="eastAsia" w:ascii="Times New Roman" w:hAnsi="Times New Roman" w:eastAsia="黑体" w:cs="黑体"/>
          <w:color w:val="auto"/>
          <w:sz w:val="32"/>
          <w:szCs w:val="32"/>
          <w:highlight w:val="none"/>
        </w:rPr>
        <w:t>第二部分</w:t>
      </w:r>
      <w:r>
        <w:rPr>
          <w:rFonts w:hint="eastAsia" w:ascii="Times New Roman" w:hAnsi="Times New Roman" w:eastAsia="黑体" w:cs="黑体"/>
          <w:color w:val="auto"/>
          <w:sz w:val="32"/>
          <w:szCs w:val="32"/>
          <w:highlight w:val="none"/>
          <w:lang w:val="en-US" w:eastAsia="zh-CN"/>
        </w:rPr>
        <w:t xml:space="preserve"> 2024年度</w:t>
      </w:r>
      <w:r>
        <w:rPr>
          <w:rFonts w:hint="eastAsia" w:ascii="Times New Roman" w:hAnsi="Times New Roman" w:eastAsia="黑体" w:cs="黑体"/>
          <w:color w:val="auto"/>
          <w:sz w:val="32"/>
          <w:szCs w:val="32"/>
          <w:highlight w:val="none"/>
        </w:rPr>
        <w:t>部门决算情况说明</w:t>
      </w:r>
      <w:r>
        <w:rPr>
          <w:rFonts w:hint="eastAsia" w:ascii="Times New Roman" w:hAnsi="Times New Roman" w:eastAsia="黑体" w:cs="黑体"/>
          <w:color w:val="auto"/>
          <w:sz w:val="32"/>
          <w:szCs w:val="32"/>
          <w:highlight w:val="none"/>
          <w:lang w:val="en-US" w:eastAsia="zh-CN"/>
        </w:rPr>
        <w:tab/>
      </w:r>
      <w:r>
        <w:rPr>
          <w:rFonts w:hint="eastAsia" w:cs="Times New Roman"/>
          <w:color w:val="000000"/>
          <w:kern w:val="2"/>
          <w:sz w:val="24"/>
          <w:szCs w:val="28"/>
          <w:highlight w:val="none"/>
          <w:lang w:val="en-US" w:eastAsia="zh-CN" w:bidi="ar-SA"/>
        </w:rPr>
        <w:t>5</w:t>
      </w:r>
    </w:p>
    <w:p w14:paraId="22DDE398">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一、收入支出决算总体情况说明</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5</w:t>
      </w:r>
    </w:p>
    <w:p w14:paraId="47E2B15B">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二、收入决算情况说明</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w:t>
      </w:r>
    </w:p>
    <w:p w14:paraId="43E36D8B">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仿宋" w:hAnsi="仿宋" w:eastAsia="仿宋" w:cs="Times New Roman"/>
          <w:color w:val="000000"/>
          <w:kern w:val="2"/>
          <w:sz w:val="24"/>
          <w:szCs w:val="28"/>
          <w:highlight w:val="none"/>
          <w:lang w:val="en-US" w:eastAsia="zh-CN" w:bidi="ar-SA"/>
        </w:rPr>
      </w:pPr>
      <w:r>
        <w:rPr>
          <w:rFonts w:hint="eastAsia" w:ascii="Times New Roman" w:hAnsi="Times New Roman" w:eastAsia="仿宋_GB2312" w:cs="仿宋_GB2312"/>
          <w:color w:val="auto"/>
          <w:sz w:val="32"/>
          <w:szCs w:val="32"/>
          <w:highlight w:val="none"/>
        </w:rPr>
        <w:t>三、支出决算情况说明</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w:t>
      </w:r>
    </w:p>
    <w:p w14:paraId="0829FB4F">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四、财政拨款收入支出决算总体情况说明</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7</w:t>
      </w:r>
    </w:p>
    <w:p w14:paraId="2211629A">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五、一般公共预算财政拨款支出决算情况说明</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8</w:t>
      </w:r>
    </w:p>
    <w:p w14:paraId="7C9EED17">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六、一般公共预算财政拨款基本支出决算情况说明</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10</w:t>
      </w:r>
    </w:p>
    <w:p w14:paraId="37FF6E21">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七、财政拨款</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三公”经费支出决算情况说明</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11</w:t>
      </w:r>
    </w:p>
    <w:p w14:paraId="14537403">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八、政府性基金预算支出决算情况说明</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13</w:t>
      </w:r>
    </w:p>
    <w:p w14:paraId="66FCCFB2">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rPr>
        <w:t>九、</w:t>
      </w:r>
      <w:r>
        <w:rPr>
          <w:rFonts w:hint="eastAsia" w:ascii="Times New Roman" w:hAnsi="Times New Roman" w:eastAsia="仿宋_GB2312" w:cs="仿宋_GB2312"/>
          <w:color w:val="auto"/>
          <w:sz w:val="32"/>
          <w:szCs w:val="32"/>
          <w:highlight w:val="none"/>
          <w:lang w:eastAsia="zh-CN"/>
        </w:rPr>
        <w:t>国</w:t>
      </w:r>
      <w:r>
        <w:rPr>
          <w:rFonts w:hint="eastAsia" w:ascii="Times New Roman" w:hAnsi="Times New Roman" w:eastAsia="仿宋_GB2312" w:cs="仿宋_GB2312"/>
          <w:color w:val="auto"/>
          <w:sz w:val="32"/>
          <w:szCs w:val="32"/>
          <w:highlight w:val="none"/>
        </w:rPr>
        <w:t>有资本经营预算支出决算情况说明</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13</w:t>
      </w:r>
    </w:p>
    <w:p w14:paraId="37BF96DF">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eastAsia="zh-CN"/>
        </w:rPr>
        <w:t>十</w:t>
      </w:r>
      <w:r>
        <w:rPr>
          <w:rFonts w:hint="eastAsia" w:ascii="Times New Roman" w:hAnsi="Times New Roman" w:eastAsia="仿宋_GB2312" w:cs="仿宋_GB2312"/>
          <w:color w:val="auto"/>
          <w:sz w:val="32"/>
          <w:szCs w:val="32"/>
          <w:highlight w:val="none"/>
        </w:rPr>
        <w:t>、其他重要事项的情况说明</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13</w:t>
      </w:r>
    </w:p>
    <w:p w14:paraId="476A9339">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第三部分 名词解释</w:t>
      </w:r>
      <w:r>
        <w:rPr>
          <w:rFonts w:hint="eastAsia" w:eastAsia="黑体" w:cs="黑体"/>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21</w:t>
      </w:r>
    </w:p>
    <w:p w14:paraId="7BAF44EA">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黑体" w:cs="黑体"/>
          <w:color w:val="auto"/>
          <w:sz w:val="32"/>
          <w:szCs w:val="32"/>
          <w:highlight w:val="none"/>
          <w:lang w:val="en-US" w:eastAsia="zh-CN"/>
        </w:rPr>
      </w:pPr>
      <w:r>
        <w:rPr>
          <w:rFonts w:hint="eastAsia" w:ascii="Times New Roman" w:hAnsi="Times New Roman" w:eastAsia="黑体" w:cs="黑体"/>
          <w:color w:val="auto"/>
          <w:sz w:val="32"/>
          <w:szCs w:val="32"/>
          <w:highlight w:val="none"/>
        </w:rPr>
        <w:t>第四部分 附件</w:t>
      </w:r>
      <w:r>
        <w:rPr>
          <w:rFonts w:hint="eastAsia" w:eastAsia="黑体" w:cs="黑体"/>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24</w:t>
      </w:r>
    </w:p>
    <w:p w14:paraId="09A3ABFE">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仿宋" w:hAnsi="仿宋" w:eastAsia="仿宋" w:cs="Times New Roman"/>
          <w:color w:val="000000"/>
          <w:kern w:val="2"/>
          <w:sz w:val="24"/>
          <w:szCs w:val="28"/>
          <w:highlight w:val="none"/>
          <w:lang w:val="en-US" w:eastAsia="zh-CN" w:bidi="ar-SA"/>
        </w:rPr>
      </w:pPr>
      <w:r>
        <w:rPr>
          <w:rFonts w:hint="eastAsia" w:ascii="Times New Roman" w:hAnsi="Times New Roman" w:eastAsia="黑体" w:cs="黑体"/>
          <w:color w:val="auto"/>
          <w:sz w:val="32"/>
          <w:szCs w:val="32"/>
          <w:highlight w:val="none"/>
        </w:rPr>
        <w:t>第五部分 附表</w:t>
      </w:r>
      <w:r>
        <w:rPr>
          <w:rFonts w:hint="eastAsia" w:eastAsia="黑体" w:cs="黑体"/>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60</w:t>
      </w:r>
    </w:p>
    <w:p w14:paraId="4F3D92F5">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一、收入支出决算总表</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60</w:t>
      </w:r>
    </w:p>
    <w:p w14:paraId="3E0CE333">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二、收入决算表</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60</w:t>
      </w:r>
    </w:p>
    <w:p w14:paraId="49F6B659">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三、支出决算表</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60</w:t>
      </w:r>
    </w:p>
    <w:p w14:paraId="51369853">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四、财政拨款收入支出决算总表</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60</w:t>
      </w:r>
    </w:p>
    <w:p w14:paraId="35B9E065">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五、财政拨款支出决算明细表</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60</w:t>
      </w:r>
    </w:p>
    <w:p w14:paraId="208209EA">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六、一般公共预算财政拨款支出决算表</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60</w:t>
      </w:r>
    </w:p>
    <w:p w14:paraId="7412FBD7">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七、一般公共预算财政拨款支出决算明细表</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60</w:t>
      </w:r>
    </w:p>
    <w:p w14:paraId="74AC31B3">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八、一般公共预算财政拨款基本支出决算</w:t>
      </w:r>
      <w:r>
        <w:rPr>
          <w:rFonts w:hint="eastAsia" w:ascii="Times New Roman" w:hAnsi="Times New Roman" w:eastAsia="仿宋_GB2312" w:cs="仿宋_GB2312"/>
          <w:color w:val="auto"/>
          <w:sz w:val="32"/>
          <w:szCs w:val="32"/>
          <w:highlight w:val="none"/>
          <w:lang w:eastAsia="zh-CN"/>
        </w:rPr>
        <w:t>明细</w:t>
      </w:r>
      <w:r>
        <w:rPr>
          <w:rFonts w:hint="eastAsia" w:ascii="Times New Roman" w:hAnsi="Times New Roman" w:eastAsia="仿宋_GB2312" w:cs="仿宋_GB2312"/>
          <w:color w:val="auto"/>
          <w:sz w:val="32"/>
          <w:szCs w:val="32"/>
          <w:highlight w:val="none"/>
        </w:rPr>
        <w:t>表</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60</w:t>
      </w:r>
    </w:p>
    <w:p w14:paraId="471F2742">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九、一般公共预算财政拨款项目支出决算表</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60</w:t>
      </w:r>
    </w:p>
    <w:p w14:paraId="3D4AA072">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十、政府性基金预算财政拨款收入支出决算表</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60</w:t>
      </w:r>
    </w:p>
    <w:p w14:paraId="20FA08C0">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十一、国有资本经营预算财政拨款收入支出决算表</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60</w:t>
      </w:r>
    </w:p>
    <w:p w14:paraId="49E737FA">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十二、</w:t>
      </w:r>
      <w:r>
        <w:rPr>
          <w:rFonts w:hint="eastAsia" w:ascii="Times New Roman" w:hAnsi="Times New Roman" w:eastAsia="仿宋_GB2312" w:cs="仿宋_GB2312"/>
          <w:color w:val="auto"/>
          <w:sz w:val="32"/>
          <w:szCs w:val="32"/>
          <w:highlight w:val="none"/>
          <w:lang w:val="en-US" w:eastAsia="zh-CN"/>
        </w:rPr>
        <w:t>国有资本经营预算财政拨款支出决算表</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60</w:t>
      </w:r>
    </w:p>
    <w:p w14:paraId="48873353">
      <w:pPr>
        <w:pStyle w:val="14"/>
        <w:keepNext w:val="0"/>
        <w:keepLines w:val="0"/>
        <w:pageBreakBefore w:val="0"/>
        <w:widowControl w:val="0"/>
        <w:tabs>
          <w:tab w:val="right" w:leader="middleDot" w:pos="420"/>
          <w:tab w:val="right" w:leader="middleDot" w:pos="1155"/>
          <w:tab w:val="right" w:leader="middleDot" w:pos="8400"/>
          <w:tab w:val="clear" w:pos="8296"/>
        </w:tabs>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仿宋_GB2312" w:cs="仿宋_GB2312"/>
          <w:color w:val="auto"/>
          <w:sz w:val="32"/>
          <w:szCs w:val="32"/>
          <w:highlight w:val="none"/>
          <w:lang w:val="en-US"/>
        </w:rPr>
      </w:pPr>
      <w:r>
        <w:rPr>
          <w:rFonts w:hint="eastAsia" w:ascii="Times New Roman" w:hAnsi="Times New Roman" w:eastAsia="仿宋_GB2312" w:cs="仿宋_GB2312"/>
          <w:color w:val="auto"/>
          <w:sz w:val="32"/>
          <w:szCs w:val="32"/>
          <w:highlight w:val="none"/>
        </w:rPr>
        <w:t>十三、财政拨款“三公”经费支出决算表</w:t>
      </w:r>
      <w:r>
        <w:rPr>
          <w:rFonts w:hint="eastAsia" w:eastAsia="仿宋_GB2312" w:cs="仿宋_GB2312"/>
          <w:color w:val="auto"/>
          <w:sz w:val="32"/>
          <w:szCs w:val="32"/>
          <w:highlight w:val="none"/>
          <w:lang w:val="en-US" w:eastAsia="zh-CN"/>
        </w:rPr>
        <w:tab/>
      </w:r>
      <w:r>
        <w:rPr>
          <w:rFonts w:hint="eastAsia" w:ascii="仿宋" w:hAnsi="仿宋" w:eastAsia="仿宋" w:cs="Times New Roman"/>
          <w:color w:val="000000"/>
          <w:kern w:val="2"/>
          <w:sz w:val="24"/>
          <w:szCs w:val="28"/>
          <w:highlight w:val="none"/>
          <w:lang w:val="en-US" w:eastAsia="zh-CN" w:bidi="ar-SA"/>
        </w:rPr>
        <w:t>60</w:t>
      </w:r>
    </w:p>
    <w:p w14:paraId="2949BACE">
      <w:pPr>
        <w:keepNext w:val="0"/>
        <w:keepLines w:val="0"/>
        <w:pageBreakBefore w:val="0"/>
        <w:widowControl w:val="0"/>
        <w:suppressAutoHyphens/>
        <w:kinsoku/>
        <w:wordWrap/>
        <w:overflowPunct/>
        <w:topLinePunct w:val="0"/>
        <w:autoSpaceDE/>
        <w:autoSpaceDN/>
        <w:bidi w:val="0"/>
        <w:adjustRightInd w:val="0"/>
        <w:snapToGrid w:val="0"/>
        <w:spacing w:line="440" w:lineRule="exact"/>
        <w:ind w:left="420" w:leftChars="200"/>
        <w:jc w:val="left"/>
        <w:textAlignment w:val="auto"/>
        <w:rPr>
          <w:rFonts w:hint="default" w:ascii="Calibri" w:hAnsi="Calibri" w:eastAsia="宋体" w:cs="Times New Roman"/>
          <w:color w:val="000000"/>
          <w:kern w:val="2"/>
          <w:sz w:val="24"/>
          <w:szCs w:val="24"/>
          <w:highlight w:val="none"/>
          <w:lang w:val="en-US" w:eastAsia="zh-CN" w:bidi="ar-SA"/>
        </w:rPr>
      </w:pPr>
      <w:bookmarkStart w:id="6" w:name="_Toc15377196"/>
      <w:bookmarkStart w:id="7" w:name="_Toc15396599"/>
      <w:r>
        <w:rPr>
          <w:rFonts w:hint="eastAsia" w:ascii="Times New Roman" w:hAnsi="Times New Roman" w:eastAsia="仿宋_GB2312" w:cs="仿宋_GB2312"/>
          <w:b/>
          <w:color w:val="auto"/>
          <w:sz w:val="32"/>
          <w:szCs w:val="32"/>
          <w:highlight w:val="none"/>
        </w:rPr>
        <w:br w:type="page"/>
      </w:r>
    </w:p>
    <w:p w14:paraId="5EB4DCA0">
      <w:pPr>
        <w:keepNext w:val="0"/>
        <w:keepLines w:val="0"/>
        <w:pageBreakBefore w:val="0"/>
        <w:widowControl/>
        <w:kinsoku/>
        <w:wordWrap/>
        <w:overflowPunct/>
        <w:topLinePunct w:val="0"/>
        <w:autoSpaceDE/>
        <w:autoSpaceDN/>
        <w:bidi w:val="0"/>
        <w:spacing w:line="560" w:lineRule="exact"/>
        <w:jc w:val="left"/>
        <w:textAlignment w:val="auto"/>
        <w:rPr>
          <w:rFonts w:hint="eastAsia" w:ascii="Times New Roman" w:hAnsi="Times New Roman" w:eastAsia="仿宋_GB2312" w:cs="仿宋_GB2312"/>
          <w:bCs/>
          <w:color w:val="auto"/>
          <w:kern w:val="44"/>
          <w:sz w:val="32"/>
          <w:szCs w:val="32"/>
          <w:highlight w:val="none"/>
        </w:rPr>
      </w:pPr>
    </w:p>
    <w:bookmarkEnd w:id="6"/>
    <w:bookmarkEnd w:id="7"/>
    <w:p w14:paraId="03C6F486">
      <w:pPr>
        <w:pStyle w:val="3"/>
        <w:jc w:val="center"/>
        <w:rPr>
          <w:rFonts w:hint="eastAsia" w:ascii="黑体" w:hAnsi="黑体" w:eastAsia="黑体"/>
          <w:bCs w:val="0"/>
        </w:rPr>
      </w:pPr>
      <w:r>
        <w:rPr>
          <w:rFonts w:hint="eastAsia" w:ascii="黑体" w:hAnsi="黑体" w:eastAsia="黑体"/>
          <w:b w:val="0"/>
        </w:rPr>
        <w:t>第一部分 单位</w:t>
      </w:r>
      <w:r>
        <w:rPr>
          <w:rStyle w:val="38"/>
          <w:rFonts w:hint="eastAsia" w:ascii="黑体" w:hAnsi="黑体" w:eastAsia="黑体"/>
          <w:b w:val="0"/>
          <w:bCs w:val="0"/>
        </w:rPr>
        <w:t>概况</w:t>
      </w:r>
    </w:p>
    <w:p w14:paraId="02794965">
      <w:pPr>
        <w:pStyle w:val="4"/>
        <w:numPr>
          <w:ilvl w:val="0"/>
          <w:numId w:val="1"/>
        </w:numPr>
        <w:outlineLvl w:val="0"/>
        <w:rPr>
          <w:rStyle w:val="39"/>
          <w:rFonts w:hint="eastAsia" w:ascii="黑体" w:hAnsi="黑体" w:eastAsia="黑体"/>
          <w:b w:val="0"/>
          <w:bCs w:val="0"/>
        </w:rPr>
      </w:pPr>
      <w:r>
        <w:rPr>
          <w:rStyle w:val="39"/>
          <w:rFonts w:hint="eastAsia" w:ascii="黑体" w:hAnsi="黑体" w:eastAsia="黑体"/>
          <w:b w:val="0"/>
          <w:bCs w:val="0"/>
        </w:rPr>
        <w:t>主要职责</w:t>
      </w:r>
    </w:p>
    <w:p w14:paraId="481FF578">
      <w:pPr>
        <w:ind w:firstLine="640" w:firstLineChars="200"/>
        <w:rPr>
          <w:rFonts w:hint="eastAsia"/>
        </w:rPr>
      </w:pPr>
      <w:r>
        <w:rPr>
          <w:rFonts w:hint="eastAsia" w:ascii="仿宋" w:hAnsi="仿宋" w:eastAsia="仿宋"/>
          <w:sz w:val="32"/>
          <w:szCs w:val="32"/>
        </w:rPr>
        <w:t>凉山州农业学校是凉山州教育局主管的全额拨款、正县级事业单位，是凉山州人民政府国有公办的中等职业学校。目前学校全日制专业有畜牧兽医、机电一体化、林业技术等专业。形成了以普通中专为主体、“</w:t>
      </w:r>
      <w:r>
        <w:rPr>
          <w:rFonts w:ascii="仿宋" w:hAnsi="仿宋" w:eastAsia="仿宋"/>
          <w:sz w:val="32"/>
          <w:szCs w:val="32"/>
        </w:rPr>
        <w:t>3+2</w:t>
      </w:r>
      <w:r>
        <w:rPr>
          <w:rFonts w:hint="eastAsia" w:ascii="仿宋" w:hAnsi="仿宋" w:eastAsia="仿宋"/>
          <w:sz w:val="32"/>
          <w:szCs w:val="32"/>
        </w:rPr>
        <w:t>”高职联合办学、“</w:t>
      </w:r>
      <w:r>
        <w:rPr>
          <w:rFonts w:ascii="仿宋" w:hAnsi="仿宋" w:eastAsia="仿宋"/>
          <w:sz w:val="32"/>
          <w:szCs w:val="32"/>
        </w:rPr>
        <w:t>3+3</w:t>
      </w:r>
      <w:r>
        <w:rPr>
          <w:rFonts w:hint="eastAsia" w:ascii="仿宋" w:hAnsi="仿宋" w:eastAsia="仿宋"/>
          <w:sz w:val="32"/>
          <w:szCs w:val="32"/>
        </w:rPr>
        <w:t>”高职对接办学、短期培训等为补充的多元一体的办学格局。</w:t>
      </w:r>
    </w:p>
    <w:p w14:paraId="31185170">
      <w:pPr>
        <w:pStyle w:val="4"/>
        <w:outlineLvl w:val="0"/>
        <w:rPr>
          <w:rFonts w:hint="eastAsia" w:ascii="黑体" w:hAnsi="黑体" w:eastAsia="黑体"/>
          <w:b w:val="0"/>
        </w:rPr>
      </w:pPr>
      <w:r>
        <w:rPr>
          <w:rFonts w:hint="eastAsia" w:ascii="黑体" w:hAnsi="黑体" w:eastAsia="黑体"/>
          <w:b w:val="0"/>
        </w:rPr>
        <w:t>二、机构设置</w:t>
      </w:r>
    </w:p>
    <w:p w14:paraId="2B18A727">
      <w:pPr>
        <w:widowControl/>
        <w:adjustRightInd w:val="0"/>
        <w:snapToGrid w:val="0"/>
        <w:spacing w:line="580" w:lineRule="exact"/>
        <w:ind w:firstLine="640" w:firstLineChars="200"/>
        <w:contextualSpacing/>
        <w:jc w:val="left"/>
        <w:rPr>
          <w:rFonts w:ascii="仿宋" w:hAnsi="仿宋" w:eastAsia="仿宋"/>
          <w:sz w:val="28"/>
          <w:szCs w:val="28"/>
        </w:rPr>
      </w:pPr>
      <w:r>
        <w:rPr>
          <w:rFonts w:hint="eastAsia" w:ascii="仿宋" w:hAnsi="仿宋" w:eastAsia="仿宋"/>
          <w:sz w:val="32"/>
          <w:szCs w:val="32"/>
        </w:rPr>
        <w:t>凉山州农业学校是凉山州教育和体育局主管的全额拨款、正县级事业单位，是凉山州人民政府国有公办的中等职业学校，全额拨款的一级预算单位。</w:t>
      </w:r>
    </w:p>
    <w:p w14:paraId="7ADBD21F">
      <w:pPr>
        <w:widowControl/>
        <w:ind w:firstLine="640" w:firstLineChars="200"/>
        <w:jc w:val="left"/>
        <w:rPr>
          <w:rFonts w:ascii="仿宋" w:hAnsi="仿宋" w:eastAsia="仿宋"/>
          <w:sz w:val="32"/>
          <w:szCs w:val="32"/>
        </w:rPr>
      </w:pPr>
      <w:r>
        <w:rPr>
          <w:rFonts w:hint="eastAsia" w:ascii="仿宋" w:hAnsi="仿宋" w:eastAsia="仿宋"/>
          <w:sz w:val="32"/>
          <w:szCs w:val="32"/>
        </w:rPr>
        <w:t>学校内设办公室、政工科、教务科、总务科、学生科、招生就业科、教学研究室和离退休人员工作科等9个科室，                               无下属二级单位</w:t>
      </w:r>
    </w:p>
    <w:p w14:paraId="39C09679">
      <w:pPr>
        <w:widowControl/>
        <w:jc w:val="left"/>
        <w:rPr>
          <w:rFonts w:ascii="Times New Roman" w:hAnsi="Times New Roman" w:eastAsia="仿宋"/>
          <w:color w:val="auto"/>
          <w:kern w:val="0"/>
          <w:sz w:val="32"/>
          <w:szCs w:val="32"/>
          <w:highlight w:val="none"/>
        </w:rPr>
      </w:pPr>
      <w:r>
        <w:rPr>
          <w:rFonts w:ascii="Times New Roman" w:hAnsi="Times New Roman" w:eastAsia="仿宋"/>
          <w:color w:val="auto"/>
          <w:sz w:val="32"/>
          <w:szCs w:val="32"/>
          <w:highlight w:val="none"/>
        </w:rPr>
        <w:br w:type="page"/>
      </w:r>
    </w:p>
    <w:p w14:paraId="1D018696">
      <w:pPr>
        <w:pStyle w:val="3"/>
        <w:jc w:val="center"/>
        <w:rPr>
          <w:rFonts w:hint="eastAsia" w:ascii="Times New Roman" w:hAnsi="Times New Roman" w:eastAsia="方正小标宋简体" w:cs="方正小标宋简体"/>
          <w:b w:val="0"/>
          <w:color w:val="auto"/>
          <w:highlight w:val="none"/>
        </w:rPr>
      </w:pPr>
      <w:bookmarkStart w:id="8" w:name="_Toc15377204"/>
      <w:bookmarkStart w:id="9" w:name="_Toc15396602"/>
      <w:r>
        <w:rPr>
          <w:rFonts w:hint="eastAsia" w:ascii="Times New Roman" w:hAnsi="Times New Roman" w:eastAsia="方正小标宋简体" w:cs="方正小标宋简体"/>
          <w:b w:val="0"/>
          <w:color w:val="auto"/>
          <w:highlight w:val="none"/>
        </w:rPr>
        <w:t>第二部分</w:t>
      </w:r>
      <w:r>
        <w:rPr>
          <w:rFonts w:hint="eastAsia" w:ascii="Times New Roman" w:hAnsi="Times New Roman" w:eastAsia="方正小标宋简体" w:cs="方正小标宋简体"/>
          <w:b w:val="0"/>
          <w:color w:val="auto"/>
          <w:highlight w:val="none"/>
          <w:lang w:val="en-US" w:eastAsia="zh-CN"/>
        </w:rPr>
        <w:t xml:space="preserve"> </w:t>
      </w:r>
      <w:r>
        <w:rPr>
          <w:rFonts w:hint="eastAsia" w:ascii="Times New Roman" w:hAnsi="Times New Roman" w:eastAsia="方正小标宋简体" w:cs="方正小标宋简体"/>
          <w:b w:val="0"/>
          <w:color w:val="auto"/>
          <w:highlight w:val="none"/>
        </w:rPr>
        <w:t xml:space="preserve"> </w:t>
      </w:r>
      <w:r>
        <w:rPr>
          <w:rFonts w:hint="eastAsia" w:ascii="Times New Roman" w:hAnsi="Times New Roman" w:eastAsia="方正小标宋简体" w:cs="方正小标宋简体"/>
          <w:b w:val="0"/>
          <w:color w:val="auto"/>
          <w:highlight w:val="none"/>
          <w:lang w:val="en-US" w:eastAsia="zh-CN"/>
        </w:rPr>
        <w:t>2024年度</w:t>
      </w:r>
      <w:r>
        <w:rPr>
          <w:rFonts w:hint="eastAsia" w:eastAsia="方正小标宋简体" w:cs="方正小标宋简体"/>
          <w:b w:val="0"/>
          <w:color w:val="auto"/>
          <w:highlight w:val="none"/>
          <w:lang w:val="en-US" w:eastAsia="zh-CN"/>
        </w:rPr>
        <w:t>单位</w:t>
      </w:r>
      <w:r>
        <w:rPr>
          <w:rFonts w:hint="eastAsia" w:ascii="Times New Roman" w:hAnsi="Times New Roman" w:eastAsia="方正小标宋简体" w:cs="方正小标宋简体"/>
          <w:b w:val="0"/>
          <w:color w:val="auto"/>
          <w:highlight w:val="none"/>
        </w:rPr>
        <w:t>决算情况说明</w:t>
      </w:r>
      <w:bookmarkEnd w:id="8"/>
      <w:bookmarkEnd w:id="9"/>
    </w:p>
    <w:p w14:paraId="1D05ABAF">
      <w:pPr>
        <w:rPr>
          <w:rFonts w:ascii="Times New Roman" w:hAnsi="Times New Roman"/>
          <w:color w:val="auto"/>
          <w:highlight w:val="none"/>
        </w:rPr>
      </w:pPr>
    </w:p>
    <w:p w14:paraId="4E46E1BA">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0"/>
        <w:rPr>
          <w:rStyle w:val="32"/>
          <w:rFonts w:hint="eastAsia" w:ascii="Times New Roman" w:hAnsi="Times New Roman" w:eastAsia="黑体"/>
          <w:b w:val="0"/>
          <w:color w:val="auto"/>
          <w:highlight w:val="none"/>
        </w:rPr>
      </w:pPr>
      <w:bookmarkStart w:id="10" w:name="_Toc15377205"/>
      <w:bookmarkStart w:id="11" w:name="_Toc15396603"/>
      <w:r>
        <w:rPr>
          <w:rFonts w:hint="eastAsia" w:ascii="Times New Roman" w:hAnsi="Times New Roman" w:eastAsia="黑体"/>
          <w:color w:val="auto"/>
          <w:sz w:val="32"/>
          <w:szCs w:val="32"/>
          <w:highlight w:val="none"/>
          <w:lang w:eastAsia="zh-CN"/>
        </w:rPr>
        <w:t>一、</w:t>
      </w:r>
      <w:r>
        <w:rPr>
          <w:rFonts w:hint="eastAsia" w:ascii="Times New Roman" w:hAnsi="Times New Roman" w:eastAsia="黑体"/>
          <w:color w:val="auto"/>
          <w:sz w:val="32"/>
          <w:szCs w:val="32"/>
          <w:highlight w:val="none"/>
        </w:rPr>
        <w:t>收</w:t>
      </w:r>
      <w:r>
        <w:rPr>
          <w:rStyle w:val="32"/>
          <w:rFonts w:hint="eastAsia" w:ascii="Times New Roman" w:hAnsi="Times New Roman" w:eastAsia="黑体"/>
          <w:b w:val="0"/>
          <w:color w:val="auto"/>
          <w:highlight w:val="none"/>
        </w:rPr>
        <w:t>入支出决算总体情况说明</w:t>
      </w:r>
      <w:bookmarkEnd w:id="10"/>
      <w:bookmarkEnd w:id="11"/>
    </w:p>
    <w:p w14:paraId="2BCB3DC4">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Times New Roman" w:hAnsi="Times New Roman" w:eastAsia="仿宋_GB2312" w:cs="仿宋_GB2312"/>
          <w:color w:val="auto"/>
          <w:sz w:val="32"/>
          <w:szCs w:val="32"/>
          <w:highlight w:val="none"/>
          <w:lang w:eastAsia="zh-CN"/>
        </w:rPr>
      </w:pPr>
      <w:r>
        <w:rPr>
          <w:rFonts w:hint="eastAsia" w:ascii="仿宋_GB2312" w:hAnsi="仿宋_GB2312" w:eastAsia="仿宋_GB2312" w:cs="仿宋_GB2312"/>
          <w:sz w:val="32"/>
          <w:szCs w:val="32"/>
          <w:lang w:eastAsia="zh-CN"/>
        </w:rPr>
        <w:t>2024</w:t>
      </w:r>
      <w:r>
        <w:rPr>
          <w:rFonts w:hint="eastAsia" w:ascii="Times New Roman" w:hAnsi="Times New Roman" w:eastAsia="仿宋_GB2312" w:cs="仿宋_GB2312"/>
          <w:color w:val="auto"/>
          <w:sz w:val="32"/>
          <w:szCs w:val="32"/>
          <w:highlight w:val="none"/>
          <w:lang w:eastAsia="zh-CN"/>
        </w:rPr>
        <w:t>年度收入</w:t>
      </w:r>
      <w:r>
        <w:rPr>
          <w:rFonts w:hint="eastAsia" w:ascii="Times New Roman" w:hAnsi="Times New Roman" w:eastAsia="仿宋_GB2312" w:cs="仿宋_GB2312"/>
          <w:color w:val="auto"/>
          <w:sz w:val="32"/>
          <w:szCs w:val="32"/>
          <w:highlight w:val="none"/>
        </w:rPr>
        <w:t>总计</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4196.39万元。与</w:t>
      </w: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相比，</w:t>
      </w:r>
      <w:r>
        <w:rPr>
          <w:rFonts w:hint="eastAsia" w:ascii="仿宋_GB2312" w:hAnsi="仿宋_GB2312" w:eastAsia="仿宋_GB2312" w:cs="仿宋_GB2312"/>
          <w:sz w:val="32"/>
          <w:szCs w:val="32"/>
          <w:lang w:eastAsia="zh-CN"/>
        </w:rPr>
        <w:t>收入总计</w:t>
      </w:r>
      <w:r>
        <w:rPr>
          <w:rFonts w:hint="eastAsia" w:ascii="仿宋_GB2312" w:hAnsi="仿宋_GB2312" w:eastAsia="仿宋_GB2312" w:cs="仿宋_GB2312"/>
          <w:sz w:val="32"/>
          <w:szCs w:val="32"/>
        </w:rPr>
        <w:t>减少297.35万</w:t>
      </w:r>
      <w:r>
        <w:rPr>
          <w:rFonts w:hint="eastAsia" w:ascii="Times New Roman" w:hAnsi="Times New Roman" w:eastAsia="仿宋_GB2312" w:cs="仿宋_GB2312"/>
          <w:color w:val="auto"/>
          <w:sz w:val="32"/>
          <w:szCs w:val="32"/>
          <w:highlight w:val="none"/>
        </w:rPr>
        <w:t>元，下</w:t>
      </w:r>
      <w:r>
        <w:rPr>
          <w:rFonts w:hint="eastAsia" w:ascii="Times New Roman" w:hAnsi="Times New Roman" w:eastAsia="仿宋_GB2312" w:cs="仿宋_GB2312"/>
          <w:color w:val="auto"/>
          <w:sz w:val="32"/>
          <w:szCs w:val="32"/>
          <w:highlight w:val="none"/>
          <w:lang w:eastAsia="zh-CN"/>
        </w:rPr>
        <w:t>降</w:t>
      </w:r>
      <w:r>
        <w:rPr>
          <w:rFonts w:hint="eastAsia" w:ascii="仿宋" w:hAnsi="仿宋" w:eastAsia="仿宋"/>
          <w:sz w:val="32"/>
          <w:szCs w:val="32"/>
          <w:highlight w:val="none"/>
          <w:lang w:val="en-US" w:eastAsia="zh-CN"/>
        </w:rPr>
        <w:t>6.62%</w:t>
      </w:r>
      <w:r>
        <w:rPr>
          <w:rFonts w:hint="eastAsia" w:ascii="仿宋" w:hAnsi="仿宋" w:eastAsia="仿宋"/>
          <w:sz w:val="32"/>
          <w:szCs w:val="32"/>
          <w:highlight w:val="none"/>
          <w:lang w:eastAsia="zh-CN"/>
        </w:rPr>
        <w:t>。</w:t>
      </w:r>
      <w:r>
        <w:rPr>
          <w:rFonts w:hint="eastAsia" w:ascii="仿宋" w:hAnsi="仿宋" w:eastAsia="仿宋"/>
          <w:sz w:val="32"/>
          <w:szCs w:val="32"/>
          <w:highlight w:val="none"/>
        </w:rPr>
        <w:t>主</w:t>
      </w:r>
      <w:r>
        <w:rPr>
          <w:rFonts w:hint="eastAsia" w:ascii="Times New Roman" w:hAnsi="Times New Roman" w:eastAsia="仿宋_GB2312" w:cs="仿宋_GB2312"/>
          <w:color w:val="auto"/>
          <w:sz w:val="32"/>
          <w:szCs w:val="32"/>
          <w:highlight w:val="none"/>
        </w:rPr>
        <w:t>要变动原因</w:t>
      </w:r>
      <w:r>
        <w:rPr>
          <w:rFonts w:hint="eastAsia" w:eastAsia="仿宋_GB2312" w:cs="仿宋_GB2312"/>
          <w:color w:val="auto"/>
          <w:sz w:val="32"/>
          <w:szCs w:val="32"/>
          <w:highlight w:val="none"/>
          <w:lang w:eastAsia="zh-CN"/>
        </w:rPr>
        <w:t>是学生人数有所下降</w:t>
      </w:r>
      <w:r>
        <w:rPr>
          <w:rFonts w:hint="eastAsia" w:eastAsia="仿宋_GB2312" w:cs="仿宋_GB2312"/>
          <w:color w:val="auto"/>
          <w:sz w:val="32"/>
          <w:szCs w:val="32"/>
          <w:highlight w:val="none"/>
          <w:lang w:val="en-US" w:eastAsia="zh-CN"/>
        </w:rPr>
        <w:t>事业收入减少和</w:t>
      </w:r>
      <w:r>
        <w:rPr>
          <w:rFonts w:hint="eastAsia" w:ascii="仿宋_GB2312" w:hAnsi="仿宋_GB2312" w:eastAsia="仿宋_GB2312" w:cs="仿宋_GB2312"/>
          <w:sz w:val="32"/>
          <w:szCs w:val="32"/>
        </w:rPr>
        <w:t>项目减少</w:t>
      </w:r>
      <w:r>
        <w:rPr>
          <w:rFonts w:hint="eastAsia" w:ascii="仿宋_GB2312" w:hAnsi="仿宋_GB2312" w:eastAsia="仿宋_GB2312" w:cs="仿宋_GB2312"/>
          <w:sz w:val="32"/>
          <w:szCs w:val="32"/>
          <w:lang w:eastAsia="zh-CN"/>
        </w:rPr>
        <w:t>。</w:t>
      </w:r>
    </w:p>
    <w:p w14:paraId="796BCCF2">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 w:hAnsi="仿宋" w:eastAsia="仿宋"/>
          <w:sz w:val="32"/>
          <w:szCs w:val="32"/>
          <w:highlight w:val="none"/>
        </w:rPr>
        <w:t>202</w:t>
      </w:r>
      <w:r>
        <w:rPr>
          <w:rFonts w:hint="eastAsia" w:ascii="仿宋" w:hAnsi="仿宋" w:eastAsia="仿宋"/>
          <w:sz w:val="32"/>
          <w:szCs w:val="32"/>
          <w:highlight w:val="none"/>
          <w:lang w:val="en-US" w:eastAsia="zh-CN"/>
        </w:rPr>
        <w:t>4</w:t>
      </w:r>
      <w:r>
        <w:rPr>
          <w:rFonts w:hint="eastAsia" w:ascii="仿宋" w:hAnsi="仿宋" w:eastAsia="仿宋"/>
          <w:sz w:val="32"/>
          <w:szCs w:val="32"/>
          <w:highlight w:val="none"/>
        </w:rPr>
        <w:t>年度支出总计</w:t>
      </w:r>
      <w:r>
        <w:rPr>
          <w:rFonts w:hint="eastAsia" w:ascii="仿宋_GB2312" w:hAnsi="仿宋_GB2312" w:eastAsia="仿宋_GB2312" w:cs="仿宋_GB2312"/>
          <w:sz w:val="32"/>
          <w:szCs w:val="32"/>
        </w:rPr>
        <w:t>4196.39</w:t>
      </w:r>
      <w:r>
        <w:rPr>
          <w:rFonts w:hint="eastAsia" w:ascii="仿宋" w:hAnsi="仿宋" w:eastAsia="仿宋"/>
          <w:sz w:val="32"/>
          <w:szCs w:val="32"/>
          <w:highlight w:val="none"/>
        </w:rPr>
        <w:t>万元。与202</w:t>
      </w:r>
      <w:r>
        <w:rPr>
          <w:rFonts w:hint="eastAsia" w:ascii="仿宋" w:hAnsi="仿宋" w:eastAsia="仿宋"/>
          <w:sz w:val="32"/>
          <w:szCs w:val="32"/>
          <w:highlight w:val="none"/>
          <w:lang w:val="en-US" w:eastAsia="zh-CN"/>
        </w:rPr>
        <w:t>3</w:t>
      </w:r>
      <w:r>
        <w:rPr>
          <w:rFonts w:hint="eastAsia" w:ascii="仿宋" w:hAnsi="仿宋" w:eastAsia="仿宋"/>
          <w:sz w:val="32"/>
          <w:szCs w:val="32"/>
          <w:highlight w:val="none"/>
        </w:rPr>
        <w:t>年相比，支出总计减少</w:t>
      </w:r>
      <w:r>
        <w:rPr>
          <w:rFonts w:hint="eastAsia" w:ascii="仿宋_GB2312" w:hAnsi="仿宋_GB2312" w:eastAsia="仿宋_GB2312" w:cs="仿宋_GB2312"/>
          <w:sz w:val="32"/>
          <w:szCs w:val="32"/>
        </w:rPr>
        <w:t>297.35万元，下降</w:t>
      </w:r>
      <w:r>
        <w:rPr>
          <w:rFonts w:hint="eastAsia" w:ascii="仿宋_GB2312" w:hAnsi="仿宋_GB2312" w:eastAsia="仿宋_GB2312" w:cs="仿宋_GB2312"/>
          <w:sz w:val="32"/>
          <w:szCs w:val="32"/>
          <w:lang w:val="en-US" w:eastAsia="zh-CN"/>
        </w:rPr>
        <w:t>6.62%</w:t>
      </w:r>
      <w:r>
        <w:rPr>
          <w:rFonts w:hint="eastAsia" w:ascii="仿宋" w:hAnsi="仿宋" w:eastAsia="仿宋"/>
          <w:sz w:val="32"/>
          <w:szCs w:val="32"/>
          <w:highlight w:val="none"/>
        </w:rPr>
        <w:t>。</w:t>
      </w:r>
      <w:r>
        <w:rPr>
          <w:rFonts w:hint="eastAsia" w:ascii="仿宋" w:hAnsi="仿宋" w:eastAsia="仿宋"/>
          <w:color w:val="000000"/>
          <w:sz w:val="32"/>
          <w:szCs w:val="32"/>
          <w:highlight w:val="none"/>
        </w:rPr>
        <w:t>主要变动</w:t>
      </w:r>
      <w:r>
        <w:rPr>
          <w:rFonts w:hint="eastAsia" w:ascii="仿宋" w:hAnsi="仿宋" w:eastAsia="仿宋"/>
          <w:sz w:val="32"/>
          <w:szCs w:val="32"/>
          <w:highlight w:val="none"/>
        </w:rPr>
        <w:t>原因</w:t>
      </w:r>
      <w:r>
        <w:rPr>
          <w:rFonts w:hint="eastAsia" w:ascii="仿宋" w:hAnsi="仿宋" w:eastAsia="仿宋"/>
          <w:color w:val="000000"/>
          <w:sz w:val="32"/>
          <w:szCs w:val="32"/>
          <w:highlight w:val="none"/>
        </w:rPr>
        <w:t>是</w:t>
      </w:r>
      <w:r>
        <w:rPr>
          <w:rFonts w:hint="eastAsia" w:eastAsia="仿宋_GB2312" w:cs="仿宋_GB2312"/>
          <w:color w:val="auto"/>
          <w:sz w:val="32"/>
          <w:szCs w:val="32"/>
          <w:highlight w:val="none"/>
          <w:lang w:eastAsia="zh-CN"/>
        </w:rPr>
        <w:t>学生人数有所下降</w:t>
      </w:r>
      <w:r>
        <w:rPr>
          <w:rFonts w:hint="eastAsia" w:eastAsia="仿宋_GB2312" w:cs="仿宋_GB2312"/>
          <w:color w:val="auto"/>
          <w:sz w:val="32"/>
          <w:szCs w:val="32"/>
          <w:highlight w:val="none"/>
          <w:lang w:val="en-US" w:eastAsia="zh-CN"/>
        </w:rPr>
        <w:t>事业支出减少和</w:t>
      </w:r>
      <w:r>
        <w:rPr>
          <w:rFonts w:hint="eastAsia" w:ascii="仿宋_GB2312" w:hAnsi="仿宋_GB2312" w:eastAsia="仿宋_GB2312" w:cs="仿宋_GB2312"/>
          <w:sz w:val="32"/>
          <w:szCs w:val="32"/>
        </w:rPr>
        <w:t>政府采购花费时间较长，项目经费要在2025年才能形成支出</w:t>
      </w:r>
      <w:r>
        <w:rPr>
          <w:rFonts w:hint="eastAsia" w:ascii="仿宋_GB2312" w:hAnsi="仿宋_GB2312" w:eastAsia="仿宋_GB2312" w:cs="仿宋_GB2312"/>
          <w:sz w:val="32"/>
          <w:szCs w:val="32"/>
          <w:lang w:eastAsia="zh-CN"/>
        </w:rPr>
        <w:t>。</w:t>
      </w:r>
    </w:p>
    <w:p w14:paraId="4D695FBC">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eastAsia="zh-CN"/>
        </w:rPr>
      </w:pPr>
    </w:p>
    <w:p w14:paraId="2F74C987">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eastAsia="zh-CN"/>
        </w:rPr>
      </w:pPr>
    </w:p>
    <w:p w14:paraId="60DEFCFC">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eastAsia="zh-CN"/>
        </w:rPr>
      </w:pPr>
    </w:p>
    <w:p w14:paraId="2582F1A7">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eastAsia="zh-CN"/>
        </w:rPr>
      </w:pPr>
    </w:p>
    <w:p w14:paraId="36117FA7">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eastAsia="zh-CN"/>
        </w:rPr>
      </w:pPr>
    </w:p>
    <w:p w14:paraId="40E4168B">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eastAsia="zh-CN"/>
        </w:rPr>
      </w:pPr>
    </w:p>
    <w:p w14:paraId="2524DB62">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eastAsia="zh-CN"/>
        </w:rPr>
      </w:pPr>
    </w:p>
    <w:p w14:paraId="68F1A54F">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outlineLvl w:val="9"/>
        <w:rPr>
          <w:rFonts w:hint="eastAsia" w:ascii="仿宋_GB2312" w:hAnsi="仿宋_GB2312" w:eastAsia="仿宋_GB2312" w:cs="仿宋_GB2312"/>
          <w:sz w:val="32"/>
          <w:szCs w:val="32"/>
          <w:lang w:eastAsia="zh-CN"/>
        </w:rPr>
      </w:pPr>
    </w:p>
    <w:p w14:paraId="42F1C4FB">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420" w:firstLineChars="200"/>
        <w:textAlignment w:val="auto"/>
        <w:outlineLvl w:val="9"/>
        <w:rPr>
          <w:rFonts w:hint="eastAsia" w:ascii="仿宋_GB2312" w:hAnsi="仿宋_GB2312" w:eastAsia="仿宋_GB2312" w:cs="仿宋_GB2312"/>
          <w:sz w:val="32"/>
          <w:szCs w:val="32"/>
          <w:lang w:eastAsia="zh-CN"/>
        </w:rPr>
      </w:pPr>
      <w:r>
        <w:drawing>
          <wp:anchor distT="0" distB="0" distL="114300" distR="114300" simplePos="0" relativeHeight="251660288" behindDoc="1" locked="0" layoutInCell="1" allowOverlap="1">
            <wp:simplePos x="0" y="0"/>
            <wp:positionH relativeFrom="column">
              <wp:posOffset>271145</wp:posOffset>
            </wp:positionH>
            <wp:positionV relativeFrom="paragraph">
              <wp:posOffset>-2453005</wp:posOffset>
            </wp:positionV>
            <wp:extent cx="4826000" cy="2743200"/>
            <wp:effectExtent l="4445" t="4445" r="8255" b="14605"/>
            <wp:wrapNone/>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14:paraId="1DC31AF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color w:val="auto"/>
          <w:sz w:val="32"/>
          <w:szCs w:val="32"/>
          <w:highlight w:val="none"/>
        </w:rPr>
      </w:pPr>
    </w:p>
    <w:p w14:paraId="27BD1D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（图1：</w:t>
      </w:r>
      <w:r>
        <w:rPr>
          <w:rFonts w:hint="eastAsia" w:ascii="Times New Roman" w:hAnsi="Times New Roman" w:eastAsia="仿宋_GB2312" w:cs="仿宋_GB2312"/>
          <w:color w:val="auto"/>
          <w:sz w:val="32"/>
          <w:szCs w:val="32"/>
          <w:highlight w:val="none"/>
          <w:lang w:eastAsia="zh-CN"/>
        </w:rPr>
        <w:t>收入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支出</w:t>
      </w:r>
      <w:r>
        <w:rPr>
          <w:rFonts w:hint="eastAsia" w:ascii="Times New Roman" w:hAnsi="Times New Roman" w:eastAsia="仿宋_GB2312" w:cs="仿宋_GB2312"/>
          <w:color w:val="auto"/>
          <w:sz w:val="32"/>
          <w:szCs w:val="32"/>
          <w:highlight w:val="none"/>
        </w:rPr>
        <w:t>决算总计变动情况图）（柱状图）</w:t>
      </w:r>
    </w:p>
    <w:p w14:paraId="537EB896">
      <w:pPr>
        <w:pStyle w:val="2"/>
        <w:rPr>
          <w:rFonts w:hint="eastAsia" w:ascii="Times New Roman" w:hAnsi="Times New Roman" w:eastAsia="仿宋_GB2312" w:cs="仿宋_GB2312"/>
          <w:color w:val="auto"/>
          <w:sz w:val="32"/>
          <w:szCs w:val="32"/>
          <w:highlight w:val="none"/>
        </w:rPr>
      </w:pPr>
    </w:p>
    <w:p w14:paraId="76A634E4">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0"/>
        <w:rPr>
          <w:rFonts w:hint="eastAsia" w:ascii="Times New Roman" w:hAnsi="Times New Roman" w:eastAsia="黑体"/>
          <w:color w:val="auto"/>
          <w:sz w:val="32"/>
          <w:szCs w:val="32"/>
          <w:highlight w:val="none"/>
          <w:lang w:eastAsia="zh-CN"/>
        </w:rPr>
      </w:pPr>
      <w:bookmarkStart w:id="12" w:name="_Toc15377206"/>
      <w:bookmarkStart w:id="13" w:name="_Toc15396604"/>
      <w:r>
        <w:rPr>
          <w:rFonts w:hint="eastAsia" w:ascii="Times New Roman" w:hAnsi="Times New Roman" w:eastAsia="黑体"/>
          <w:color w:val="auto"/>
          <w:sz w:val="32"/>
          <w:szCs w:val="32"/>
          <w:highlight w:val="none"/>
          <w:lang w:eastAsia="zh-CN"/>
        </w:rPr>
        <w:t>二、收入决算情况说明</w:t>
      </w:r>
      <w:bookmarkEnd w:id="12"/>
      <w:bookmarkEnd w:id="13"/>
    </w:p>
    <w:p w14:paraId="39C25B7B">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2024年度本年收入合计</w:t>
      </w:r>
      <w:r>
        <w:rPr>
          <w:rFonts w:hint="eastAsia" w:ascii="仿宋_GB2312" w:hAnsi="仿宋_GB2312" w:eastAsia="仿宋_GB2312" w:cs="仿宋_GB2312"/>
          <w:sz w:val="32"/>
          <w:szCs w:val="32"/>
        </w:rPr>
        <w:t>4196.39万元，其中：一般公共预算财政拨款收入3704.67</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88.28</w:t>
      </w:r>
      <w:r>
        <w:rPr>
          <w:rFonts w:hint="eastAsia" w:ascii="仿宋_GB2312" w:hAnsi="仿宋_GB2312" w:eastAsia="仿宋_GB2312" w:cs="仿宋_GB2312"/>
          <w:color w:val="auto"/>
          <w:sz w:val="32"/>
          <w:szCs w:val="32"/>
          <w:highlight w:val="none"/>
          <w:lang w:eastAsia="zh-CN"/>
        </w:rPr>
        <w:t>%；政府性基金预算财政拨款收入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；国有资本经营预算财政拨款收入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%；上级补助收入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%；事业收入</w:t>
      </w:r>
      <w:r>
        <w:rPr>
          <w:rFonts w:hint="eastAsia" w:ascii="仿宋_GB2312" w:hAnsi="仿宋_GB2312" w:eastAsia="仿宋_GB2312" w:cs="仿宋_GB2312"/>
          <w:sz w:val="32"/>
          <w:szCs w:val="32"/>
        </w:rPr>
        <w:t>92.01</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2.19</w:t>
      </w:r>
      <w:r>
        <w:rPr>
          <w:rFonts w:hint="eastAsia" w:ascii="仿宋_GB2312" w:hAnsi="仿宋_GB2312" w:eastAsia="仿宋_GB2312" w:cs="仿宋_GB2312"/>
          <w:color w:val="auto"/>
          <w:sz w:val="32"/>
          <w:szCs w:val="32"/>
          <w:highlight w:val="none"/>
          <w:lang w:eastAsia="zh-CN"/>
        </w:rPr>
        <w:t>%；经营收入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%；附属单位上缴收入</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%；其他收入</w:t>
      </w:r>
      <w:r>
        <w:rPr>
          <w:rFonts w:hint="eastAsia" w:ascii="仿宋_GB2312" w:hAnsi="仿宋_GB2312" w:eastAsia="仿宋_GB2312" w:cs="仿宋_GB2312"/>
          <w:sz w:val="32"/>
          <w:szCs w:val="32"/>
        </w:rPr>
        <w:t>399.7</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9.52</w:t>
      </w:r>
      <w:r>
        <w:rPr>
          <w:rFonts w:hint="eastAsia" w:ascii="仿宋_GB2312" w:hAnsi="仿宋_GB2312" w:eastAsia="仿宋_GB2312" w:cs="仿宋_GB2312"/>
          <w:color w:val="auto"/>
          <w:sz w:val="32"/>
          <w:szCs w:val="32"/>
          <w:highlight w:val="none"/>
          <w:lang w:eastAsia="zh-CN"/>
        </w:rPr>
        <w:t>%。</w:t>
      </w:r>
    </w:p>
    <w:p w14:paraId="32DE89A1">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p>
    <w:p w14:paraId="3442ECE6">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p>
    <w:p w14:paraId="78201482">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p>
    <w:p w14:paraId="3471E37F">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p>
    <w:p w14:paraId="03EE293A">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p>
    <w:p w14:paraId="06EA51BE">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p>
    <w:p w14:paraId="56AB3AB7">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p>
    <w:p w14:paraId="0D730D13">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420" w:firstLineChars="200"/>
        <w:jc w:val="left"/>
        <w:textAlignment w:val="auto"/>
        <w:outlineLvl w:val="9"/>
        <w:rPr>
          <w:rFonts w:hint="eastAsia" w:ascii="仿宋_GB2312" w:hAnsi="仿宋_GB2312" w:eastAsia="仿宋_GB2312" w:cs="仿宋_GB2312"/>
          <w:color w:val="auto"/>
          <w:sz w:val="32"/>
          <w:szCs w:val="32"/>
          <w:highlight w:val="none"/>
          <w:lang w:eastAsia="zh-CN"/>
        </w:rPr>
      </w:pPr>
      <w:r>
        <w:drawing>
          <wp:anchor distT="0" distB="0" distL="114300" distR="114300" simplePos="0" relativeHeight="251661312" behindDoc="0" locked="0" layoutInCell="1" allowOverlap="1">
            <wp:simplePos x="0" y="0"/>
            <wp:positionH relativeFrom="column">
              <wp:posOffset>271145</wp:posOffset>
            </wp:positionH>
            <wp:positionV relativeFrom="paragraph">
              <wp:posOffset>-2453005</wp:posOffset>
            </wp:positionV>
            <wp:extent cx="4826000" cy="2743200"/>
            <wp:effectExtent l="4445" t="4445" r="8255" b="14605"/>
            <wp:wrapNone/>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14:paraId="462FC226">
      <w:pPr>
        <w:ind w:firstLine="800" w:firstLineChars="250"/>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eastAsia="zh-CN"/>
        </w:rPr>
        <w:t>（图2：收入决算结构图）（饼状图）</w:t>
      </w:r>
    </w:p>
    <w:p w14:paraId="6B54DC49">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outlineLvl w:val="0"/>
        <w:rPr>
          <w:rStyle w:val="32"/>
          <w:rFonts w:hint="eastAsia" w:ascii="Times New Roman" w:hAnsi="Times New Roman" w:eastAsia="黑体"/>
          <w:b w:val="0"/>
          <w:color w:val="auto"/>
          <w:highlight w:val="none"/>
        </w:rPr>
      </w:pPr>
      <w:bookmarkStart w:id="14" w:name="_Toc15396605"/>
      <w:bookmarkStart w:id="15" w:name="_Toc15377207"/>
      <w:r>
        <w:rPr>
          <w:rFonts w:hint="eastAsia" w:ascii="Times New Roman" w:hAnsi="Times New Roman" w:eastAsia="黑体"/>
          <w:color w:val="auto"/>
          <w:sz w:val="32"/>
          <w:szCs w:val="32"/>
          <w:highlight w:val="none"/>
          <w:lang w:eastAsia="zh-CN"/>
        </w:rPr>
        <w:t>三、</w:t>
      </w:r>
      <w:r>
        <w:rPr>
          <w:rFonts w:hint="eastAsia" w:ascii="Times New Roman" w:hAnsi="Times New Roman" w:eastAsia="黑体"/>
          <w:color w:val="auto"/>
          <w:sz w:val="32"/>
          <w:szCs w:val="32"/>
          <w:highlight w:val="none"/>
        </w:rPr>
        <w:t>支</w:t>
      </w:r>
      <w:r>
        <w:rPr>
          <w:rStyle w:val="32"/>
          <w:rFonts w:hint="eastAsia" w:ascii="Times New Roman" w:hAnsi="Times New Roman" w:eastAsia="黑体"/>
          <w:b w:val="0"/>
          <w:color w:val="auto"/>
          <w:highlight w:val="none"/>
        </w:rPr>
        <w:t>出决算情况说明</w:t>
      </w:r>
      <w:bookmarkEnd w:id="14"/>
      <w:bookmarkEnd w:id="15"/>
    </w:p>
    <w:p w14:paraId="35005540">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2024年度本年支出合计</w:t>
      </w:r>
      <w:r>
        <w:rPr>
          <w:rFonts w:hint="eastAsia" w:ascii="仿宋_GB2312" w:hAnsi="仿宋_GB2312" w:eastAsia="仿宋_GB2312" w:cs="仿宋_GB2312"/>
          <w:sz w:val="32"/>
          <w:szCs w:val="32"/>
        </w:rPr>
        <w:t>4196.39</w:t>
      </w:r>
      <w:r>
        <w:rPr>
          <w:rFonts w:hint="eastAsia" w:ascii="仿宋_GB2312" w:hAnsi="仿宋_GB2312" w:eastAsia="仿宋_GB2312" w:cs="仿宋_GB2312"/>
          <w:color w:val="auto"/>
          <w:sz w:val="32"/>
          <w:szCs w:val="32"/>
          <w:highlight w:val="none"/>
          <w:lang w:eastAsia="zh-CN"/>
        </w:rPr>
        <w:t>万元，其中：基本支出</w:t>
      </w:r>
      <w:r>
        <w:rPr>
          <w:rFonts w:hint="eastAsia" w:ascii="仿宋_GB2312" w:hAnsi="仿宋_GB2312" w:eastAsia="仿宋_GB2312" w:cs="仿宋_GB2312"/>
          <w:sz w:val="32"/>
          <w:szCs w:val="32"/>
        </w:rPr>
        <w:t>2394.48</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57.06</w:t>
      </w:r>
      <w:r>
        <w:rPr>
          <w:rFonts w:hint="eastAsia" w:ascii="仿宋_GB2312" w:hAnsi="仿宋_GB2312" w:eastAsia="仿宋_GB2312" w:cs="仿宋_GB2312"/>
          <w:color w:val="auto"/>
          <w:sz w:val="32"/>
          <w:szCs w:val="32"/>
          <w:highlight w:val="none"/>
          <w:lang w:eastAsia="zh-CN"/>
        </w:rPr>
        <w:t>%；项目支出</w:t>
      </w:r>
      <w:r>
        <w:rPr>
          <w:rFonts w:hint="eastAsia" w:ascii="仿宋_GB2312" w:hAnsi="仿宋_GB2312" w:eastAsia="仿宋_GB2312" w:cs="仿宋_GB2312"/>
          <w:sz w:val="32"/>
          <w:szCs w:val="32"/>
        </w:rPr>
        <w:t>1801.9</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42.9</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color w:val="auto"/>
          <w:sz w:val="32"/>
          <w:szCs w:val="32"/>
          <w:highlight w:val="none"/>
          <w:lang w:eastAsia="zh-CN"/>
        </w:rPr>
        <w:t>%；上缴上级支出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%；经营支出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%；对附属单位补助支出</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万元，占</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sz w:val="32"/>
          <w:szCs w:val="32"/>
          <w:highlight w:val="none"/>
          <w:lang w:eastAsia="zh-CN"/>
        </w:rPr>
        <w:t>%。</w:t>
      </w:r>
    </w:p>
    <w:p w14:paraId="63ED03C2">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p>
    <w:p w14:paraId="2165F856">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p>
    <w:p w14:paraId="734B2469">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p>
    <w:p w14:paraId="20F3F2D3">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p>
    <w:p w14:paraId="13130FB5">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p>
    <w:p w14:paraId="54A2A790">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p>
    <w:p w14:paraId="7CB622DC">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仿宋_GB2312" w:eastAsia="仿宋_GB2312" w:cs="仿宋_GB2312"/>
          <w:color w:val="auto"/>
          <w:sz w:val="32"/>
          <w:szCs w:val="32"/>
          <w:highlight w:val="none"/>
          <w:lang w:eastAsia="zh-CN"/>
        </w:rPr>
      </w:pPr>
    </w:p>
    <w:p w14:paraId="778B5ABA">
      <w:pPr>
        <w:pStyle w:val="30"/>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420" w:firstLineChars="200"/>
        <w:jc w:val="left"/>
        <w:textAlignment w:val="auto"/>
        <w:outlineLvl w:val="9"/>
        <w:rPr>
          <w:rFonts w:hint="eastAsia" w:ascii="仿宋_GB2312" w:hAnsi="仿宋_GB2312" w:eastAsia="仿宋_GB2312" w:cs="仿宋_GB2312"/>
          <w:color w:val="auto"/>
          <w:sz w:val="32"/>
          <w:szCs w:val="32"/>
          <w:highlight w:val="none"/>
          <w:lang w:eastAsia="zh-CN"/>
        </w:rPr>
      </w:pPr>
      <w:r>
        <w:drawing>
          <wp:inline distT="0" distB="0" distL="114300" distR="114300">
            <wp:extent cx="4826000" cy="2743200"/>
            <wp:effectExtent l="4445" t="4445" r="8255" b="14605"/>
            <wp:docPr id="1"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drawing>
          <wp:anchor distT="0" distB="0" distL="114300" distR="114300" simplePos="0" relativeHeight="251662336" behindDoc="0" locked="0" layoutInCell="1" allowOverlap="1">
            <wp:simplePos x="0" y="0"/>
            <wp:positionH relativeFrom="column">
              <wp:posOffset>271145</wp:posOffset>
            </wp:positionH>
            <wp:positionV relativeFrom="paragraph">
              <wp:posOffset>-2453005</wp:posOffset>
            </wp:positionV>
            <wp:extent cx="4826000" cy="2743200"/>
            <wp:effectExtent l="4445" t="4445" r="8255" b="14605"/>
            <wp:wrapNone/>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14:paraId="6492FB42">
      <w:pPr>
        <w:ind w:firstLine="800" w:firstLineChars="250"/>
        <w:rPr>
          <w:rFonts w:hint="eastAsia"/>
          <w:lang w:eastAsia="zh-CN"/>
        </w:rPr>
      </w:pPr>
      <w:r>
        <w:rPr>
          <w:rFonts w:hint="eastAsia" w:ascii="Times New Roman" w:hAnsi="Times New Roman" w:eastAsia="仿宋_GB2312" w:cs="仿宋_GB2312"/>
          <w:color w:val="auto"/>
          <w:sz w:val="32"/>
          <w:szCs w:val="32"/>
          <w:highlight w:val="none"/>
          <w:lang w:eastAsia="zh-CN"/>
        </w:rPr>
        <w:t>（图3：支出决算结构图）（饼状图）</w:t>
      </w:r>
    </w:p>
    <w:p w14:paraId="5F424EC7">
      <w:pPr>
        <w:spacing w:line="600" w:lineRule="exact"/>
        <w:ind w:firstLine="640" w:firstLineChars="200"/>
        <w:outlineLvl w:val="0"/>
        <w:rPr>
          <w:rStyle w:val="32"/>
          <w:rFonts w:ascii="Times New Roman" w:hAnsi="Times New Roman" w:eastAsia="黑体"/>
          <w:b w:val="0"/>
          <w:color w:val="auto"/>
          <w:highlight w:val="none"/>
        </w:rPr>
      </w:pPr>
      <w:bookmarkStart w:id="16" w:name="_Toc15377208"/>
      <w:bookmarkStart w:id="17" w:name="_Toc15396606"/>
      <w:r>
        <w:rPr>
          <w:rFonts w:hint="eastAsia" w:ascii="Times New Roman" w:hAnsi="Times New Roman" w:eastAsia="黑体"/>
          <w:color w:val="auto"/>
          <w:sz w:val="32"/>
          <w:szCs w:val="32"/>
          <w:highlight w:val="none"/>
        </w:rPr>
        <w:t>四、财</w:t>
      </w:r>
      <w:r>
        <w:rPr>
          <w:rStyle w:val="32"/>
          <w:rFonts w:hint="eastAsia" w:ascii="Times New Roman" w:hAnsi="Times New Roman" w:eastAsia="黑体"/>
          <w:b w:val="0"/>
          <w:color w:val="auto"/>
          <w:highlight w:val="none"/>
        </w:rPr>
        <w:t>政拨款收入支出决算总体情况说明</w:t>
      </w:r>
      <w:bookmarkEnd w:id="16"/>
      <w:bookmarkEnd w:id="17"/>
    </w:p>
    <w:p w14:paraId="73564F7F">
      <w:pPr>
        <w:spacing w:line="600" w:lineRule="exact"/>
        <w:ind w:firstLine="640"/>
        <w:rPr>
          <w:rFonts w:hint="default"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2024年度财政拨款收入总计为</w:t>
      </w:r>
      <w:r>
        <w:rPr>
          <w:rFonts w:hint="eastAsia" w:ascii="仿宋_GB2312" w:hAnsi="仿宋_GB2312" w:eastAsia="仿宋_GB2312" w:cs="仿宋_GB2312"/>
          <w:sz w:val="32"/>
          <w:szCs w:val="32"/>
        </w:rPr>
        <w:t>3704.67</w:t>
      </w:r>
      <w:r>
        <w:rPr>
          <w:rFonts w:hint="eastAsia" w:ascii="Times New Roman" w:hAnsi="Times New Roman" w:eastAsia="仿宋_GB2312" w:cs="仿宋_GB2312"/>
          <w:color w:val="auto"/>
          <w:kern w:val="2"/>
          <w:sz w:val="32"/>
          <w:szCs w:val="32"/>
          <w:highlight w:val="none"/>
          <w:lang w:val="en-US" w:eastAsia="zh-CN" w:bidi="ar-SA"/>
        </w:rPr>
        <w:t>万元。与2023年度相比，财政拨款收入总计减少</w:t>
      </w:r>
      <w:r>
        <w:rPr>
          <w:rFonts w:hint="eastAsia" w:ascii="仿宋_GB2312" w:hAnsi="仿宋" w:eastAsia="仿宋_GB2312"/>
          <w:sz w:val="32"/>
          <w:szCs w:val="32"/>
        </w:rPr>
        <w:t>350.04</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ascii="仿宋_GB2312" w:hAnsi="仿宋" w:eastAsia="仿宋_GB2312"/>
          <w:sz w:val="32"/>
          <w:szCs w:val="32"/>
        </w:rPr>
        <w:t>8.63</w:t>
      </w:r>
      <w:r>
        <w:rPr>
          <w:rFonts w:hint="eastAsia" w:ascii="Times New Roman" w:hAnsi="Times New Roman" w:eastAsia="仿宋_GB2312" w:cs="仿宋_GB2312"/>
          <w:color w:val="auto"/>
          <w:kern w:val="2"/>
          <w:sz w:val="32"/>
          <w:szCs w:val="32"/>
          <w:highlight w:val="none"/>
          <w:lang w:val="en-US" w:eastAsia="zh-CN" w:bidi="ar-SA"/>
        </w:rPr>
        <w:t>%。主要变动原因是</w:t>
      </w:r>
      <w:r>
        <w:rPr>
          <w:rFonts w:hint="eastAsia" w:eastAsia="仿宋_GB2312" w:cs="仿宋_GB2312"/>
          <w:color w:val="auto"/>
          <w:kern w:val="2"/>
          <w:sz w:val="32"/>
          <w:szCs w:val="32"/>
          <w:highlight w:val="none"/>
          <w:lang w:val="en-US" w:eastAsia="zh-CN" w:bidi="ar-SA"/>
        </w:rPr>
        <w:t>学生人数减少，助学金减少。</w:t>
      </w:r>
    </w:p>
    <w:p w14:paraId="025C6670">
      <w:pPr>
        <w:spacing w:line="600" w:lineRule="exact"/>
        <w:ind w:firstLine="640"/>
        <w:rPr>
          <w:rFonts w:hint="eastAsia" w:eastAsia="仿宋_GB2312" w:cs="仿宋_GB2312"/>
          <w:color w:val="auto"/>
          <w:kern w:val="2"/>
          <w:sz w:val="32"/>
          <w:szCs w:val="32"/>
          <w:highlight w:val="none"/>
          <w:lang w:val="en-US" w:eastAsia="zh-CN" w:bidi="ar-SA"/>
        </w:rPr>
      </w:pPr>
      <w:r>
        <w:drawing>
          <wp:anchor distT="0" distB="0" distL="114300" distR="114300" simplePos="0" relativeHeight="251663360" behindDoc="0" locked="0" layoutInCell="1" allowOverlap="1">
            <wp:simplePos x="0" y="0"/>
            <wp:positionH relativeFrom="column">
              <wp:posOffset>194310</wp:posOffset>
            </wp:positionH>
            <wp:positionV relativeFrom="paragraph">
              <wp:posOffset>1137920</wp:posOffset>
            </wp:positionV>
            <wp:extent cx="4826000" cy="2743200"/>
            <wp:effectExtent l="4445" t="4445" r="8255" b="14605"/>
            <wp:wrapNone/>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ascii="Times New Roman" w:hAnsi="Times New Roman" w:eastAsia="仿宋_GB2312" w:cs="仿宋_GB2312"/>
          <w:color w:val="auto"/>
          <w:kern w:val="2"/>
          <w:sz w:val="32"/>
          <w:szCs w:val="32"/>
          <w:highlight w:val="none"/>
          <w:lang w:val="en-US" w:eastAsia="zh-CN" w:bidi="ar-SA"/>
        </w:rPr>
        <w:t>2024年度财政拨款支出总计为</w:t>
      </w:r>
      <w:r>
        <w:rPr>
          <w:rFonts w:hint="eastAsia" w:ascii="仿宋_GB2312" w:hAnsi="仿宋_GB2312" w:eastAsia="仿宋_GB2312" w:cs="仿宋_GB2312"/>
          <w:sz w:val="32"/>
          <w:szCs w:val="32"/>
        </w:rPr>
        <w:t>3704.67</w:t>
      </w:r>
      <w:r>
        <w:rPr>
          <w:rFonts w:hint="eastAsia" w:ascii="Times New Roman" w:hAnsi="Times New Roman" w:eastAsia="仿宋_GB2312" w:cs="仿宋_GB2312"/>
          <w:color w:val="auto"/>
          <w:kern w:val="2"/>
          <w:sz w:val="32"/>
          <w:szCs w:val="32"/>
          <w:highlight w:val="none"/>
          <w:lang w:val="en-US" w:eastAsia="zh-CN" w:bidi="ar-SA"/>
        </w:rPr>
        <w:t>万元。与2023年度相比，财政拨款</w:t>
      </w:r>
      <w:r>
        <w:rPr>
          <w:rFonts w:hint="eastAsia" w:eastAsia="仿宋_GB2312" w:cs="仿宋_GB2312"/>
          <w:color w:val="auto"/>
          <w:kern w:val="2"/>
          <w:sz w:val="32"/>
          <w:szCs w:val="32"/>
          <w:highlight w:val="none"/>
          <w:lang w:val="en-US" w:eastAsia="zh-CN" w:bidi="ar-SA"/>
        </w:rPr>
        <w:t>支出</w:t>
      </w:r>
      <w:r>
        <w:rPr>
          <w:rFonts w:hint="eastAsia" w:ascii="Times New Roman" w:hAnsi="Times New Roman" w:eastAsia="仿宋_GB2312" w:cs="仿宋_GB2312"/>
          <w:color w:val="auto"/>
          <w:kern w:val="2"/>
          <w:sz w:val="32"/>
          <w:szCs w:val="32"/>
          <w:highlight w:val="none"/>
          <w:lang w:val="en-US" w:eastAsia="zh-CN" w:bidi="ar-SA"/>
        </w:rPr>
        <w:t>总计减少</w:t>
      </w:r>
      <w:r>
        <w:rPr>
          <w:rFonts w:hint="eastAsia" w:ascii="仿宋_GB2312" w:hAnsi="仿宋" w:eastAsia="仿宋_GB2312"/>
          <w:sz w:val="32"/>
          <w:szCs w:val="32"/>
        </w:rPr>
        <w:t>350.04</w:t>
      </w:r>
      <w:r>
        <w:rPr>
          <w:rFonts w:hint="eastAsia" w:ascii="Times New Roman" w:hAnsi="Times New Roman" w:eastAsia="仿宋_GB2312" w:cs="仿宋_GB2312"/>
          <w:color w:val="auto"/>
          <w:kern w:val="2"/>
          <w:sz w:val="32"/>
          <w:szCs w:val="32"/>
          <w:highlight w:val="none"/>
          <w:lang w:val="en-US" w:eastAsia="zh-CN" w:bidi="ar-SA"/>
        </w:rPr>
        <w:t>万元，下降</w:t>
      </w:r>
      <w:r>
        <w:rPr>
          <w:rFonts w:hint="eastAsia" w:ascii="仿宋_GB2312" w:hAnsi="仿宋" w:eastAsia="仿宋_GB2312"/>
          <w:sz w:val="32"/>
          <w:szCs w:val="32"/>
        </w:rPr>
        <w:t>8.63</w:t>
      </w:r>
      <w:r>
        <w:rPr>
          <w:rFonts w:hint="eastAsia" w:ascii="Times New Roman" w:hAnsi="Times New Roman" w:eastAsia="仿宋_GB2312" w:cs="仿宋_GB2312"/>
          <w:color w:val="auto"/>
          <w:kern w:val="2"/>
          <w:sz w:val="32"/>
          <w:szCs w:val="32"/>
          <w:highlight w:val="none"/>
          <w:lang w:val="en-US" w:eastAsia="zh-CN" w:bidi="ar-SA"/>
        </w:rPr>
        <w:t>%。主要变动原因是</w:t>
      </w:r>
      <w:r>
        <w:rPr>
          <w:rFonts w:hint="eastAsia" w:eastAsia="仿宋_GB2312" w:cs="仿宋_GB2312"/>
          <w:color w:val="auto"/>
          <w:kern w:val="2"/>
          <w:sz w:val="32"/>
          <w:szCs w:val="32"/>
          <w:highlight w:val="none"/>
          <w:lang w:val="en-US" w:eastAsia="zh-CN" w:bidi="ar-SA"/>
        </w:rPr>
        <w:t>学生人数减少，助学金减少。</w:t>
      </w:r>
    </w:p>
    <w:p w14:paraId="35C32BD9">
      <w:pPr>
        <w:pStyle w:val="2"/>
        <w:rPr>
          <w:rFonts w:hint="eastAsia" w:eastAsia="仿宋_GB2312" w:cs="仿宋_GB2312"/>
          <w:color w:val="auto"/>
          <w:kern w:val="2"/>
          <w:sz w:val="32"/>
          <w:szCs w:val="32"/>
          <w:highlight w:val="none"/>
          <w:lang w:val="en-US" w:eastAsia="zh-CN" w:bidi="ar-SA"/>
        </w:rPr>
      </w:pPr>
    </w:p>
    <w:p w14:paraId="091F5345">
      <w:pPr>
        <w:pStyle w:val="2"/>
        <w:rPr>
          <w:rFonts w:hint="eastAsia" w:eastAsia="仿宋_GB2312" w:cs="仿宋_GB2312"/>
          <w:color w:val="auto"/>
          <w:kern w:val="2"/>
          <w:sz w:val="32"/>
          <w:szCs w:val="32"/>
          <w:highlight w:val="none"/>
          <w:lang w:val="en-US" w:eastAsia="zh-CN" w:bidi="ar-SA"/>
        </w:rPr>
      </w:pPr>
    </w:p>
    <w:p w14:paraId="0866B17F">
      <w:pPr>
        <w:pStyle w:val="2"/>
        <w:rPr>
          <w:rFonts w:hint="eastAsia" w:eastAsia="仿宋_GB2312" w:cs="仿宋_GB2312"/>
          <w:color w:val="auto"/>
          <w:kern w:val="2"/>
          <w:sz w:val="32"/>
          <w:szCs w:val="32"/>
          <w:highlight w:val="none"/>
          <w:lang w:val="en-US" w:eastAsia="zh-CN" w:bidi="ar-SA"/>
        </w:rPr>
      </w:pPr>
    </w:p>
    <w:p w14:paraId="7C76EE3D">
      <w:pPr>
        <w:pStyle w:val="2"/>
        <w:rPr>
          <w:rFonts w:hint="eastAsia" w:eastAsia="仿宋_GB2312" w:cs="仿宋_GB2312"/>
          <w:color w:val="auto"/>
          <w:kern w:val="2"/>
          <w:sz w:val="32"/>
          <w:szCs w:val="32"/>
          <w:highlight w:val="none"/>
          <w:lang w:val="en-US" w:eastAsia="zh-CN" w:bidi="ar-SA"/>
        </w:rPr>
      </w:pPr>
    </w:p>
    <w:p w14:paraId="04F342F7">
      <w:pPr>
        <w:pStyle w:val="2"/>
        <w:rPr>
          <w:rFonts w:hint="eastAsia" w:eastAsia="仿宋_GB2312" w:cs="仿宋_GB2312"/>
          <w:color w:val="auto"/>
          <w:kern w:val="2"/>
          <w:sz w:val="32"/>
          <w:szCs w:val="32"/>
          <w:highlight w:val="none"/>
          <w:lang w:val="en-US" w:eastAsia="zh-CN" w:bidi="ar-SA"/>
        </w:rPr>
      </w:pPr>
    </w:p>
    <w:p w14:paraId="11D93958">
      <w:pPr>
        <w:pStyle w:val="2"/>
        <w:rPr>
          <w:rFonts w:hint="eastAsia" w:eastAsia="仿宋_GB2312" w:cs="仿宋_GB2312"/>
          <w:color w:val="auto"/>
          <w:kern w:val="2"/>
          <w:sz w:val="32"/>
          <w:szCs w:val="32"/>
          <w:highlight w:val="none"/>
          <w:lang w:val="en-US" w:eastAsia="zh-CN" w:bidi="ar-SA"/>
        </w:rPr>
      </w:pPr>
    </w:p>
    <w:p w14:paraId="1EC595F0">
      <w:pPr>
        <w:spacing w:line="600" w:lineRule="exact"/>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（图4：财政拨款收、支决算总计变动情况）（柱状图）</w:t>
      </w:r>
    </w:p>
    <w:p w14:paraId="16C2DAC3">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28D3FCAA">
      <w:pPr>
        <w:spacing w:line="600" w:lineRule="exact"/>
        <w:ind w:firstLine="640" w:firstLineChars="200"/>
        <w:outlineLvl w:val="0"/>
        <w:rPr>
          <w:rStyle w:val="32"/>
          <w:rFonts w:ascii="Times New Roman" w:hAnsi="Times New Roman" w:eastAsia="黑体"/>
          <w:b w:val="0"/>
          <w:color w:val="auto"/>
          <w:highlight w:val="none"/>
        </w:rPr>
      </w:pPr>
      <w:bookmarkStart w:id="18" w:name="_Toc15377209"/>
      <w:bookmarkStart w:id="19" w:name="_Toc15396607"/>
      <w:r>
        <w:rPr>
          <w:rFonts w:hint="eastAsia" w:ascii="Times New Roman" w:hAnsi="Times New Roman" w:eastAsia="黑体"/>
          <w:color w:val="auto"/>
          <w:sz w:val="32"/>
          <w:szCs w:val="32"/>
          <w:highlight w:val="none"/>
        </w:rPr>
        <w:t>五、</w:t>
      </w:r>
      <w:r>
        <w:rPr>
          <w:rFonts w:hint="eastAsia" w:ascii="Times New Roman" w:hAnsi="Times New Roman" w:eastAsia="黑体"/>
          <w:b/>
          <w:color w:val="auto"/>
          <w:sz w:val="32"/>
          <w:szCs w:val="32"/>
          <w:highlight w:val="none"/>
        </w:rPr>
        <w:t>一</w:t>
      </w:r>
      <w:r>
        <w:rPr>
          <w:rStyle w:val="32"/>
          <w:rFonts w:hint="eastAsia" w:ascii="Times New Roman" w:hAnsi="Times New Roman" w:eastAsia="黑体"/>
          <w:b w:val="0"/>
          <w:color w:val="auto"/>
          <w:highlight w:val="none"/>
        </w:rPr>
        <w:t>般公共预算财政拨款支出决算情况说明</w:t>
      </w:r>
      <w:bookmarkEnd w:id="18"/>
      <w:bookmarkEnd w:id="19"/>
    </w:p>
    <w:p w14:paraId="4EDC3199">
      <w:pPr>
        <w:spacing w:line="600" w:lineRule="exact"/>
        <w:ind w:firstLine="643" w:firstLineChars="200"/>
        <w:outlineLvl w:val="1"/>
        <w:rPr>
          <w:rFonts w:hint="eastAsia" w:ascii="Times New Roman" w:hAnsi="Times New Roman" w:eastAsia="楷体_GB2312" w:cs="楷体_GB2312"/>
          <w:b/>
          <w:color w:val="auto"/>
          <w:sz w:val="32"/>
          <w:szCs w:val="32"/>
          <w:highlight w:val="none"/>
        </w:rPr>
      </w:pPr>
      <w:bookmarkStart w:id="20" w:name="_Toc15377210"/>
      <w:r>
        <w:rPr>
          <w:rFonts w:hint="eastAsia" w:ascii="Times New Roman" w:hAnsi="Times New Roman" w:eastAsia="楷体_GB2312" w:cs="楷体_GB2312"/>
          <w:b/>
          <w:color w:val="auto"/>
          <w:sz w:val="32"/>
          <w:szCs w:val="32"/>
          <w:highlight w:val="none"/>
        </w:rPr>
        <w:t>（一）一般公共预算财政拨款支出决算总体情况</w:t>
      </w:r>
      <w:bookmarkEnd w:id="20"/>
    </w:p>
    <w:p w14:paraId="2467E44A">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3704.67</w:t>
      </w:r>
      <w:r>
        <w:rPr>
          <w:rFonts w:hint="eastAsia" w:ascii="仿宋_GB2312" w:hAnsi="仿宋_GB2312" w:eastAsia="仿宋_GB2312" w:cs="仿宋_GB2312"/>
          <w:color w:val="auto"/>
          <w:kern w:val="2"/>
          <w:sz w:val="32"/>
          <w:szCs w:val="32"/>
          <w:highlight w:val="none"/>
          <w:lang w:val="en-US" w:eastAsia="zh-CN" w:bidi="ar-SA"/>
        </w:rPr>
        <w:t>万元，占本年支出合计的</w:t>
      </w:r>
      <w:r>
        <w:rPr>
          <w:rFonts w:hint="eastAsia" w:ascii="仿宋_GB2312" w:hAnsi="仿宋_GB2312" w:eastAsia="仿宋_GB2312" w:cs="仿宋_GB2312"/>
          <w:sz w:val="32"/>
          <w:szCs w:val="32"/>
        </w:rPr>
        <w:t>88.28</w:t>
      </w:r>
      <w:r>
        <w:rPr>
          <w:rFonts w:hint="eastAsia" w:ascii="仿宋_GB2312" w:hAnsi="仿宋_GB2312" w:eastAsia="仿宋_GB2312" w:cs="仿宋_GB2312"/>
          <w:color w:val="auto"/>
          <w:kern w:val="2"/>
          <w:sz w:val="32"/>
          <w:szCs w:val="32"/>
          <w:highlight w:val="none"/>
          <w:lang w:val="en-US" w:eastAsia="zh-CN" w:bidi="ar-SA"/>
        </w:rPr>
        <w:t>%。与2023年度相比，一般公共预算财政拨款支出减少</w:t>
      </w:r>
      <w:r>
        <w:rPr>
          <w:rFonts w:hint="eastAsia" w:ascii="仿宋_GB2312" w:hAnsi="仿宋" w:eastAsia="仿宋_GB2312"/>
          <w:sz w:val="32"/>
          <w:szCs w:val="32"/>
        </w:rPr>
        <w:t>350.04</w:t>
      </w:r>
      <w:r>
        <w:rPr>
          <w:rFonts w:hint="eastAsia" w:ascii="仿宋_GB2312" w:hAnsi="仿宋_GB2312" w:eastAsia="仿宋_GB2312" w:cs="仿宋_GB2312"/>
          <w:color w:val="auto"/>
          <w:kern w:val="2"/>
          <w:sz w:val="32"/>
          <w:szCs w:val="32"/>
          <w:highlight w:val="none"/>
          <w:lang w:val="en-US" w:eastAsia="zh-CN" w:bidi="ar-SA"/>
        </w:rPr>
        <w:t>万元，下降</w:t>
      </w:r>
      <w:r>
        <w:rPr>
          <w:rFonts w:hint="eastAsia" w:ascii="仿宋_GB2312" w:hAnsi="仿宋" w:eastAsia="仿宋_GB2312"/>
          <w:sz w:val="32"/>
          <w:szCs w:val="32"/>
        </w:rPr>
        <w:t>8.63</w:t>
      </w:r>
      <w:r>
        <w:rPr>
          <w:rFonts w:hint="eastAsia" w:ascii="仿宋_GB2312" w:hAnsi="仿宋_GB2312" w:eastAsia="仿宋_GB2312" w:cs="仿宋_GB2312"/>
          <w:color w:val="auto"/>
          <w:kern w:val="2"/>
          <w:sz w:val="32"/>
          <w:szCs w:val="32"/>
          <w:highlight w:val="none"/>
          <w:lang w:val="en-US" w:eastAsia="zh-CN" w:bidi="ar-SA"/>
        </w:rPr>
        <w:t>%。主要变动原因是</w:t>
      </w:r>
      <w:r>
        <w:rPr>
          <w:rFonts w:hint="eastAsia" w:eastAsia="仿宋_GB2312" w:cs="仿宋_GB2312"/>
          <w:color w:val="auto"/>
          <w:kern w:val="2"/>
          <w:sz w:val="32"/>
          <w:szCs w:val="32"/>
          <w:highlight w:val="none"/>
          <w:lang w:val="en-US" w:eastAsia="zh-CN" w:bidi="ar-SA"/>
        </w:rPr>
        <w:t>学生人数减少，助学金减少。</w:t>
      </w:r>
    </w:p>
    <w:p w14:paraId="63A885C7">
      <w:pPr>
        <w:pStyle w:val="2"/>
        <w:rPr>
          <w:rFonts w:hint="eastAsia" w:eastAsia="仿宋_GB2312" w:cs="仿宋_GB2312"/>
          <w:color w:val="auto"/>
          <w:kern w:val="2"/>
          <w:sz w:val="32"/>
          <w:szCs w:val="32"/>
          <w:highlight w:val="none"/>
          <w:lang w:val="en-US" w:eastAsia="zh-CN" w:bidi="ar-SA"/>
        </w:rPr>
      </w:pPr>
      <w:r>
        <w:drawing>
          <wp:inline distT="0" distB="0" distL="114300" distR="114300">
            <wp:extent cx="4826000" cy="2743200"/>
            <wp:effectExtent l="4445" t="4445" r="8255" b="14605"/>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2C7CF30">
      <w:pPr>
        <w:keepNext w:val="0"/>
        <w:keepLines w:val="0"/>
        <w:pageBreakBefore w:val="0"/>
        <w:widowControl w:val="0"/>
        <w:kinsoku/>
        <w:wordWrap/>
        <w:overflowPunct/>
        <w:topLinePunct w:val="0"/>
        <w:autoSpaceDE/>
        <w:autoSpaceDN/>
        <w:bidi w:val="0"/>
        <w:adjustRightInd/>
        <w:snapToGrid w:val="0"/>
        <w:spacing w:line="600" w:lineRule="exact"/>
        <w:textAlignment w:val="auto"/>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（图5：一般公共预算财政拨款支出决算变动情况）（柱状图）</w:t>
      </w:r>
    </w:p>
    <w:p w14:paraId="36EE4B48">
      <w:pPr>
        <w:spacing w:line="600" w:lineRule="exact"/>
        <w:ind w:firstLine="643" w:firstLineChars="200"/>
        <w:outlineLvl w:val="1"/>
        <w:rPr>
          <w:rFonts w:hint="eastAsia" w:ascii="Times New Roman" w:hAnsi="Times New Roman" w:eastAsia="楷体_GB2312" w:cs="楷体_GB2312"/>
          <w:b/>
          <w:color w:val="auto"/>
          <w:sz w:val="32"/>
          <w:szCs w:val="32"/>
          <w:highlight w:val="none"/>
        </w:rPr>
      </w:pPr>
      <w:bookmarkStart w:id="21" w:name="_Toc15377211"/>
      <w:r>
        <w:rPr>
          <w:rFonts w:hint="eastAsia" w:ascii="Times New Roman" w:hAnsi="Times New Roman" w:eastAsia="楷体_GB2312" w:cs="楷体_GB2312"/>
          <w:b/>
          <w:color w:val="auto"/>
          <w:sz w:val="32"/>
          <w:szCs w:val="32"/>
          <w:highlight w:val="none"/>
        </w:rPr>
        <w:t>（二）一般公共预算财政拨款支出决算结构情况</w:t>
      </w:r>
      <w:bookmarkEnd w:id="21"/>
    </w:p>
    <w:p w14:paraId="705D47B5">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2024年度一般公共预算财政拨款支出</w:t>
      </w:r>
      <w:r>
        <w:rPr>
          <w:rFonts w:hint="eastAsia" w:ascii="仿宋_GB2312" w:hAnsi="仿宋_GB2312" w:eastAsia="仿宋_GB2312" w:cs="仿宋_GB2312"/>
          <w:sz w:val="32"/>
          <w:szCs w:val="32"/>
        </w:rPr>
        <w:t>3704.67</w:t>
      </w:r>
      <w:r>
        <w:rPr>
          <w:rFonts w:hint="eastAsia" w:ascii="仿宋_GB2312" w:hAnsi="仿宋_GB2312" w:eastAsia="仿宋_GB2312" w:cs="仿宋_GB2312"/>
          <w:color w:val="auto"/>
          <w:kern w:val="2"/>
          <w:sz w:val="32"/>
          <w:szCs w:val="32"/>
          <w:highlight w:val="none"/>
          <w:lang w:val="en-US" w:eastAsia="zh-CN" w:bidi="ar-SA"/>
        </w:rPr>
        <w:t>万元</w:t>
      </w:r>
      <w:r>
        <w:rPr>
          <w:rFonts w:hint="eastAsia" w:ascii="Times New Roman" w:hAnsi="Times New Roman" w:eastAsia="仿宋_GB2312" w:cs="仿宋_GB2312"/>
          <w:color w:val="auto"/>
          <w:kern w:val="2"/>
          <w:sz w:val="32"/>
          <w:szCs w:val="32"/>
          <w:highlight w:val="none"/>
          <w:lang w:val="en-US" w:eastAsia="zh-CN" w:bidi="ar-SA"/>
        </w:rPr>
        <w:t>，主要用于以下方面</w:t>
      </w:r>
      <w:r>
        <w:rPr>
          <w:rFonts w:hint="eastAsia"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教育支出2844.45万元，占76.78%；社会保障和就业支出550.52万元，占14.86%；卫生健康支出150.88万元，占4.07%；住房保障支出158.83万元，占4.29%</w:t>
      </w:r>
      <w:r>
        <w:rPr>
          <w:rFonts w:hint="eastAsia" w:eastAsia="仿宋_GB2312" w:cs="仿宋_GB2312"/>
          <w:color w:val="auto"/>
          <w:kern w:val="2"/>
          <w:sz w:val="32"/>
          <w:szCs w:val="32"/>
          <w:highlight w:val="none"/>
          <w:lang w:val="en-US" w:eastAsia="zh-CN" w:bidi="ar-SA"/>
        </w:rPr>
        <w:t>。</w:t>
      </w:r>
    </w:p>
    <w:p w14:paraId="3EBC486A">
      <w:pPr>
        <w:spacing w:line="600" w:lineRule="exact"/>
        <w:ind w:firstLine="640"/>
        <w:rPr>
          <w:rFonts w:hint="eastAsia" w:eastAsia="仿宋_GB2312" w:cs="仿宋_GB2312"/>
          <w:color w:val="auto"/>
          <w:kern w:val="2"/>
          <w:sz w:val="32"/>
          <w:szCs w:val="32"/>
          <w:highlight w:val="none"/>
          <w:lang w:val="en-US" w:eastAsia="zh-CN" w:bidi="ar-SA"/>
        </w:rPr>
      </w:pPr>
    </w:p>
    <w:p w14:paraId="3BE81BC5">
      <w:pPr>
        <w:spacing w:line="600" w:lineRule="exact"/>
        <w:rPr>
          <w:rFonts w:hint="eastAsia" w:eastAsia="仿宋_GB2312" w:cs="仿宋_GB2312"/>
          <w:color w:val="auto"/>
          <w:kern w:val="2"/>
          <w:sz w:val="32"/>
          <w:szCs w:val="32"/>
          <w:highlight w:val="none"/>
          <w:lang w:val="en-US" w:eastAsia="zh-CN" w:bidi="ar-SA"/>
        </w:rPr>
      </w:pPr>
    </w:p>
    <w:p w14:paraId="5928BD18">
      <w:pPr>
        <w:spacing w:line="600" w:lineRule="exact"/>
        <w:rPr>
          <w:rFonts w:hint="eastAsia" w:eastAsia="仿宋_GB2312" w:cs="仿宋_GB2312"/>
          <w:color w:val="auto"/>
          <w:kern w:val="2"/>
          <w:sz w:val="32"/>
          <w:szCs w:val="32"/>
          <w:highlight w:val="none"/>
          <w:lang w:val="en-US" w:eastAsia="zh-CN" w:bidi="ar-SA"/>
        </w:rPr>
      </w:pPr>
    </w:p>
    <w:p w14:paraId="24073DD7">
      <w:pPr>
        <w:spacing w:line="600" w:lineRule="exact"/>
        <w:rPr>
          <w:rFonts w:hint="eastAsia" w:eastAsia="仿宋_GB2312" w:cs="仿宋_GB2312"/>
          <w:color w:val="auto"/>
          <w:kern w:val="2"/>
          <w:sz w:val="32"/>
          <w:szCs w:val="32"/>
          <w:highlight w:val="none"/>
          <w:lang w:val="en-US" w:eastAsia="zh-CN" w:bidi="ar-SA"/>
        </w:rPr>
      </w:pPr>
    </w:p>
    <w:p w14:paraId="7813195E">
      <w:pPr>
        <w:spacing w:line="600" w:lineRule="exact"/>
        <w:rPr>
          <w:rFonts w:hint="eastAsia" w:eastAsia="仿宋_GB2312" w:cs="仿宋_GB2312"/>
          <w:color w:val="auto"/>
          <w:kern w:val="2"/>
          <w:sz w:val="32"/>
          <w:szCs w:val="32"/>
          <w:highlight w:val="none"/>
          <w:lang w:val="en-US" w:eastAsia="zh-CN" w:bidi="ar-SA"/>
        </w:rPr>
      </w:pPr>
    </w:p>
    <w:p w14:paraId="66194BF8">
      <w:pPr>
        <w:spacing w:line="600" w:lineRule="exact"/>
        <w:rPr>
          <w:rFonts w:hint="eastAsia" w:eastAsia="仿宋_GB2312" w:cs="仿宋_GB2312"/>
          <w:color w:val="auto"/>
          <w:kern w:val="2"/>
          <w:sz w:val="32"/>
          <w:szCs w:val="32"/>
          <w:highlight w:val="none"/>
          <w:lang w:val="en-US" w:eastAsia="zh-CN" w:bidi="ar-SA"/>
        </w:rPr>
      </w:pPr>
    </w:p>
    <w:p w14:paraId="253B8DE2">
      <w:pPr>
        <w:spacing w:line="600" w:lineRule="exact"/>
        <w:rPr>
          <w:rFonts w:hint="eastAsia" w:eastAsia="仿宋_GB2312" w:cs="仿宋_GB2312"/>
          <w:color w:val="auto"/>
          <w:kern w:val="2"/>
          <w:sz w:val="32"/>
          <w:szCs w:val="32"/>
          <w:highlight w:val="none"/>
          <w:lang w:val="en-US" w:eastAsia="zh-CN" w:bidi="ar-SA"/>
        </w:rPr>
      </w:pPr>
    </w:p>
    <w:p w14:paraId="6997356F">
      <w:pPr>
        <w:spacing w:line="600" w:lineRule="exact"/>
        <w:rPr>
          <w:rFonts w:hint="eastAsia" w:eastAsia="仿宋_GB2312" w:cs="仿宋_GB2312"/>
          <w:color w:val="auto"/>
          <w:kern w:val="2"/>
          <w:sz w:val="32"/>
          <w:szCs w:val="32"/>
          <w:highlight w:val="none"/>
          <w:lang w:val="en-US" w:eastAsia="zh-CN" w:bidi="ar-SA"/>
        </w:rPr>
      </w:pPr>
      <w:r>
        <w:drawing>
          <wp:anchor distT="0" distB="0" distL="114300" distR="114300" simplePos="0" relativeHeight="251664384" behindDoc="0" locked="0" layoutInCell="1" allowOverlap="1">
            <wp:simplePos x="0" y="0"/>
            <wp:positionH relativeFrom="column">
              <wp:posOffset>4445</wp:posOffset>
            </wp:positionH>
            <wp:positionV relativeFrom="paragraph">
              <wp:posOffset>-2453005</wp:posOffset>
            </wp:positionV>
            <wp:extent cx="4826000" cy="2743200"/>
            <wp:effectExtent l="4445" t="4445" r="8255" b="14605"/>
            <wp:wrapNone/>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1D519936">
      <w:pPr>
        <w:spacing w:line="600" w:lineRule="exact"/>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（图6：一般公共预算财政拨款支出决算结构）（饼状图）</w:t>
      </w:r>
    </w:p>
    <w:p w14:paraId="1861D4CD">
      <w:pPr>
        <w:spacing w:line="600" w:lineRule="exact"/>
        <w:ind w:firstLine="643" w:firstLineChars="200"/>
        <w:outlineLvl w:val="1"/>
        <w:rPr>
          <w:rFonts w:hint="eastAsia" w:ascii="Times New Roman" w:hAnsi="Times New Roman" w:eastAsia="楷体_GB2312" w:cs="楷体_GB2312"/>
          <w:b/>
          <w:color w:val="auto"/>
          <w:sz w:val="32"/>
          <w:szCs w:val="32"/>
          <w:highlight w:val="none"/>
        </w:rPr>
      </w:pPr>
      <w:bookmarkStart w:id="22" w:name="_Toc15377212"/>
      <w:r>
        <w:rPr>
          <w:rFonts w:hint="eastAsia" w:ascii="Times New Roman" w:hAnsi="Times New Roman" w:eastAsia="楷体_GB2312" w:cs="楷体_GB2312"/>
          <w:b/>
          <w:color w:val="auto"/>
          <w:sz w:val="32"/>
          <w:szCs w:val="32"/>
          <w:highlight w:val="none"/>
        </w:rPr>
        <w:t>（三）一般公共预算财政拨款支出决算具体情况</w:t>
      </w:r>
      <w:bookmarkEnd w:id="22"/>
    </w:p>
    <w:p w14:paraId="6696F0F2">
      <w:pPr>
        <w:spacing w:line="600" w:lineRule="exact"/>
        <w:ind w:firstLine="640"/>
        <w:rPr>
          <w:rFonts w:hint="eastAsia" w:ascii="Times New Roman" w:hAnsi="Times New Roman" w:eastAsia="仿宋_GB2312" w:cs="仿宋_GB2312"/>
          <w:color w:val="000000" w:themeColor="text1"/>
          <w:kern w:val="2"/>
          <w:sz w:val="32"/>
          <w:szCs w:val="32"/>
          <w:highlight w:val="none"/>
          <w:lang w:val="en-US" w:eastAsia="zh-CN" w:bidi="ar-SA"/>
          <w14:textFill>
            <w14:solidFill>
              <w14:schemeClr w14:val="tx1"/>
            </w14:solidFill>
          </w14:textFill>
        </w:rPr>
      </w:pPr>
      <w:bookmarkStart w:id="23" w:name="_Toc15377213"/>
      <w:bookmarkStart w:id="24" w:name="_Toc15378460"/>
      <w:bookmarkStart w:id="25" w:name="_Toc15377444"/>
      <w:r>
        <w:rPr>
          <w:rFonts w:hint="eastAsia" w:ascii="Times New Roman" w:hAnsi="Times New Roman" w:eastAsia="仿宋_GB2312" w:cs="仿宋_GB2312"/>
          <w:color w:val="000000" w:themeColor="text1"/>
          <w:kern w:val="2"/>
          <w:sz w:val="32"/>
          <w:szCs w:val="32"/>
          <w:highlight w:val="none"/>
          <w:lang w:val="en-US" w:eastAsia="zh-CN" w:bidi="ar-SA"/>
          <w14:textFill>
            <w14:solidFill>
              <w14:schemeClr w14:val="tx1"/>
            </w14:solidFill>
          </w14:textFill>
        </w:rPr>
        <w:t>2024年度一般公共预算财政拨款支出决算数为</w:t>
      </w:r>
      <w:r>
        <w:rPr>
          <w:rFonts w:hint="eastAsia" w:ascii="仿宋_GB2312" w:hAnsi="仿宋_GB2312" w:eastAsia="仿宋_GB2312" w:cs="仿宋_GB2312"/>
          <w:color w:val="000000" w:themeColor="text1"/>
          <w:sz w:val="32"/>
          <w:szCs w:val="32"/>
          <w14:textFill>
            <w14:solidFill>
              <w14:schemeClr w14:val="tx1"/>
            </w14:solidFill>
          </w14:textFill>
        </w:rPr>
        <w:t>3704.67</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w:t>
      </w:r>
      <w:r>
        <w:rPr>
          <w:rFonts w:hint="eastAsia" w:ascii="Times New Roman" w:hAnsi="Times New Roman" w:eastAsia="仿宋_GB2312" w:cs="仿宋_GB2312"/>
          <w:color w:val="000000" w:themeColor="text1"/>
          <w:kern w:val="2"/>
          <w:sz w:val="32"/>
          <w:szCs w:val="32"/>
          <w:highlight w:val="none"/>
          <w:lang w:val="en-US" w:eastAsia="zh-CN" w:bidi="ar-SA"/>
          <w14:textFill>
            <w14:solidFill>
              <w14:schemeClr w14:val="tx1"/>
            </w14:solidFill>
          </w14:textFill>
        </w:rPr>
        <w:t>完成预算</w:t>
      </w:r>
      <w:r>
        <w:rPr>
          <w:rFonts w:hint="eastAsia" w:eastAsia="仿宋_GB2312" w:cs="仿宋_GB2312"/>
          <w:color w:val="000000" w:themeColor="text1"/>
          <w:kern w:val="2"/>
          <w:sz w:val="32"/>
          <w:szCs w:val="32"/>
          <w:highlight w:val="none"/>
          <w:lang w:val="en-US" w:eastAsia="zh-CN" w:bidi="ar-SA"/>
          <w14:textFill>
            <w14:solidFill>
              <w14:schemeClr w14:val="tx1"/>
            </w14:solidFill>
          </w14:textFill>
        </w:rPr>
        <w:t>100</w:t>
      </w:r>
      <w:r>
        <w:rPr>
          <w:rFonts w:hint="eastAsia" w:ascii="Times New Roman" w:hAnsi="Times New Roman" w:eastAsia="仿宋_GB2312" w:cs="仿宋_GB2312"/>
          <w:color w:val="000000" w:themeColor="text1"/>
          <w:kern w:val="2"/>
          <w:sz w:val="32"/>
          <w:szCs w:val="32"/>
          <w:highlight w:val="none"/>
          <w:lang w:val="en-US" w:eastAsia="zh-CN" w:bidi="ar-SA"/>
          <w14:textFill>
            <w14:solidFill>
              <w14:schemeClr w14:val="tx1"/>
            </w14:solidFill>
          </w14:textFill>
        </w:rPr>
        <w:t>%。其中：</w:t>
      </w:r>
      <w:bookmarkEnd w:id="23"/>
      <w:bookmarkEnd w:id="24"/>
      <w:bookmarkEnd w:id="25"/>
    </w:p>
    <w:p w14:paraId="6E8C00FE">
      <w:pPr>
        <w:spacing w:line="600" w:lineRule="exact"/>
        <w:ind w:firstLine="643" w:firstLineChars="200"/>
        <w:rPr>
          <w:rStyle w:val="18"/>
          <w:rFonts w:hint="eastAsia" w:ascii="仿宋" w:hAnsi="仿宋" w:eastAsia="仿宋"/>
          <w:b w:val="0"/>
          <w:bCs/>
          <w:color w:val="000000" w:themeColor="text1"/>
          <w:sz w:val="32"/>
          <w:szCs w:val="32"/>
          <w:lang w:val="en-US" w:eastAsia="zh-CN"/>
          <w14:textFill>
            <w14:solidFill>
              <w14:schemeClr w14:val="tx1"/>
            </w14:solidFill>
          </w14:textFill>
        </w:rPr>
      </w:pPr>
      <w:r>
        <w:rPr>
          <w:rStyle w:val="18"/>
          <w:rFonts w:hint="eastAsia" w:ascii="仿宋" w:hAnsi="仿宋" w:eastAsia="仿宋"/>
          <w:bCs/>
          <w:color w:val="000000" w:themeColor="text1"/>
          <w:sz w:val="32"/>
          <w:szCs w:val="32"/>
          <w14:textFill>
            <w14:solidFill>
              <w14:schemeClr w14:val="tx1"/>
            </w14:solidFill>
          </w14:textFill>
        </w:rPr>
        <w:t>1</w:t>
      </w:r>
      <w:r>
        <w:rPr>
          <w:rStyle w:val="18"/>
          <w:rFonts w:ascii="仿宋" w:hAnsi="仿宋" w:eastAsia="仿宋"/>
          <w:bCs/>
          <w:color w:val="000000" w:themeColor="text1"/>
          <w:sz w:val="32"/>
          <w:szCs w:val="32"/>
          <w14:textFill>
            <w14:solidFill>
              <w14:schemeClr w14:val="tx1"/>
            </w14:solidFill>
          </w14:textFill>
        </w:rPr>
        <w:t>.</w:t>
      </w:r>
      <w:r>
        <w:rPr>
          <w:rStyle w:val="18"/>
          <w:rFonts w:hint="eastAsia" w:ascii="仿宋" w:hAnsi="仿宋" w:eastAsia="仿宋"/>
          <w:bCs/>
          <w:color w:val="000000" w:themeColor="text1"/>
          <w:sz w:val="32"/>
          <w:szCs w:val="32"/>
          <w14:textFill>
            <w14:solidFill>
              <w14:schemeClr w14:val="tx1"/>
            </w14:solidFill>
          </w14:textFill>
        </w:rPr>
        <w:t>教育（类）职业教育（款）中等职业教育（项）</w:t>
      </w:r>
      <w:r>
        <w:rPr>
          <w:rStyle w:val="18"/>
          <w:rFonts w:ascii="仿宋" w:hAnsi="仿宋" w:eastAsia="仿宋"/>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支出决算为2844.45万元，完成预算100</w:t>
      </w:r>
      <w:r>
        <w:rPr>
          <w:rStyle w:val="18"/>
          <w:rFonts w:ascii="仿宋" w:hAnsi="仿宋" w:eastAsia="仿宋"/>
          <w:b w:val="0"/>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，决算数</w:t>
      </w:r>
      <w:r>
        <w:rPr>
          <w:rStyle w:val="18"/>
          <w:rFonts w:hint="eastAsia" w:ascii="仿宋" w:hAnsi="仿宋" w:eastAsia="仿宋"/>
          <w:b w:val="0"/>
          <w:bCs/>
          <w:color w:val="000000" w:themeColor="text1"/>
          <w:sz w:val="32"/>
          <w:szCs w:val="32"/>
          <w:lang w:val="en-US" w:eastAsia="zh-CN"/>
          <w14:textFill>
            <w14:solidFill>
              <w14:schemeClr w14:val="tx1"/>
            </w14:solidFill>
          </w14:textFill>
        </w:rPr>
        <w:t>等于</w:t>
      </w:r>
      <w:r>
        <w:rPr>
          <w:rStyle w:val="18"/>
          <w:rFonts w:hint="eastAsia" w:ascii="仿宋" w:hAnsi="仿宋" w:eastAsia="仿宋"/>
          <w:b w:val="0"/>
          <w:bCs/>
          <w:color w:val="000000" w:themeColor="text1"/>
          <w:sz w:val="32"/>
          <w:szCs w:val="32"/>
          <w14:textFill>
            <w14:solidFill>
              <w14:schemeClr w14:val="tx1"/>
            </w14:solidFill>
          </w14:textFill>
        </w:rPr>
        <w:t>预算数</w:t>
      </w:r>
      <w:r>
        <w:rPr>
          <w:rStyle w:val="18"/>
          <w:rFonts w:hint="eastAsia" w:ascii="仿宋" w:hAnsi="仿宋" w:eastAsia="仿宋"/>
          <w:b w:val="0"/>
          <w:bCs/>
          <w:color w:val="000000" w:themeColor="text1"/>
          <w:sz w:val="32"/>
          <w:szCs w:val="32"/>
          <w:lang w:eastAsia="zh-CN"/>
          <w14:textFill>
            <w14:solidFill>
              <w14:schemeClr w14:val="tx1"/>
            </w14:solidFill>
          </w14:textFill>
        </w:rPr>
        <w:t>。</w:t>
      </w:r>
    </w:p>
    <w:p w14:paraId="426C570B">
      <w:pPr>
        <w:spacing w:line="600" w:lineRule="exact"/>
        <w:ind w:firstLine="643" w:firstLineChars="200"/>
        <w:rPr>
          <w:rStyle w:val="18"/>
          <w:rFonts w:ascii="仿宋" w:hAnsi="仿宋" w:eastAsia="仿宋"/>
          <w:b w:val="0"/>
          <w:bCs/>
          <w:color w:val="000000" w:themeColor="text1"/>
          <w:sz w:val="32"/>
          <w:szCs w:val="32"/>
          <w14:textFill>
            <w14:solidFill>
              <w14:schemeClr w14:val="tx1"/>
            </w14:solidFill>
          </w14:textFill>
        </w:rPr>
      </w:pPr>
      <w:r>
        <w:rPr>
          <w:rStyle w:val="18"/>
          <w:rFonts w:hint="eastAsia" w:ascii="仿宋" w:hAnsi="仿宋" w:eastAsia="仿宋"/>
          <w:bCs/>
          <w:color w:val="000000" w:themeColor="text1"/>
          <w:sz w:val="32"/>
          <w:szCs w:val="32"/>
          <w:lang w:val="en-US" w:eastAsia="zh-CN"/>
          <w14:textFill>
            <w14:solidFill>
              <w14:schemeClr w14:val="tx1"/>
            </w14:solidFill>
          </w14:textFill>
        </w:rPr>
        <w:t>2</w:t>
      </w:r>
      <w:r>
        <w:rPr>
          <w:rStyle w:val="18"/>
          <w:rFonts w:ascii="仿宋" w:hAnsi="仿宋" w:eastAsia="仿宋"/>
          <w:bCs/>
          <w:color w:val="000000" w:themeColor="text1"/>
          <w:sz w:val="32"/>
          <w:szCs w:val="32"/>
          <w14:textFill>
            <w14:solidFill>
              <w14:schemeClr w14:val="tx1"/>
            </w14:solidFill>
          </w14:textFill>
        </w:rPr>
        <w:t>.</w:t>
      </w:r>
      <w:r>
        <w:rPr>
          <w:rStyle w:val="18"/>
          <w:rFonts w:hint="eastAsia" w:ascii="仿宋" w:hAnsi="仿宋" w:eastAsia="仿宋"/>
          <w:bCs/>
          <w:color w:val="000000" w:themeColor="text1"/>
          <w:sz w:val="32"/>
          <w:szCs w:val="32"/>
          <w14:textFill>
            <w14:solidFill>
              <w14:schemeClr w14:val="tx1"/>
            </w14:solidFill>
          </w14:textFill>
        </w:rPr>
        <w:t>社会保障和就业（类）行政事业单位养老支出（款）事业单位离退休（项）</w:t>
      </w:r>
      <w:r>
        <w:rPr>
          <w:rStyle w:val="18"/>
          <w:rFonts w:ascii="仿宋" w:hAnsi="仿宋" w:eastAsia="仿宋"/>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支出决算为271.51万元，完成预算100</w:t>
      </w:r>
      <w:r>
        <w:rPr>
          <w:rStyle w:val="18"/>
          <w:rFonts w:ascii="仿宋" w:hAnsi="仿宋" w:eastAsia="仿宋"/>
          <w:b w:val="0"/>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，决算数</w:t>
      </w:r>
      <w:r>
        <w:rPr>
          <w:rStyle w:val="18"/>
          <w:rFonts w:hint="eastAsia" w:ascii="仿宋" w:hAnsi="仿宋" w:eastAsia="仿宋"/>
          <w:b w:val="0"/>
          <w:bCs/>
          <w:color w:val="000000" w:themeColor="text1"/>
          <w:sz w:val="32"/>
          <w:szCs w:val="32"/>
          <w:lang w:val="en-US" w:eastAsia="zh-CN"/>
          <w14:textFill>
            <w14:solidFill>
              <w14:schemeClr w14:val="tx1"/>
            </w14:solidFill>
          </w14:textFill>
        </w:rPr>
        <w:t>等于</w:t>
      </w:r>
      <w:r>
        <w:rPr>
          <w:rStyle w:val="18"/>
          <w:rFonts w:hint="eastAsia" w:ascii="仿宋" w:hAnsi="仿宋" w:eastAsia="仿宋"/>
          <w:b w:val="0"/>
          <w:bCs/>
          <w:color w:val="000000" w:themeColor="text1"/>
          <w:sz w:val="32"/>
          <w:szCs w:val="32"/>
          <w14:textFill>
            <w14:solidFill>
              <w14:schemeClr w14:val="tx1"/>
            </w14:solidFill>
          </w14:textFill>
        </w:rPr>
        <w:t>预算数</w:t>
      </w:r>
      <w:r>
        <w:rPr>
          <w:rStyle w:val="18"/>
          <w:rFonts w:hint="eastAsia" w:ascii="仿宋" w:hAnsi="仿宋" w:eastAsia="仿宋"/>
          <w:b w:val="0"/>
          <w:bCs/>
          <w:color w:val="000000" w:themeColor="text1"/>
          <w:sz w:val="32"/>
          <w:szCs w:val="32"/>
          <w:lang w:eastAsia="zh-CN"/>
          <w14:textFill>
            <w14:solidFill>
              <w14:schemeClr w14:val="tx1"/>
            </w14:solidFill>
          </w14:textFill>
        </w:rPr>
        <w:t>。</w:t>
      </w:r>
    </w:p>
    <w:p w14:paraId="3E8851DB">
      <w:pPr>
        <w:pStyle w:val="2"/>
        <w:spacing w:before="93"/>
        <w:ind w:firstLine="630" w:firstLineChars="196"/>
        <w:rPr>
          <w:color w:val="000000" w:themeColor="text1"/>
          <w14:textFill>
            <w14:solidFill>
              <w14:schemeClr w14:val="tx1"/>
            </w14:solidFill>
          </w14:textFill>
        </w:rPr>
      </w:pPr>
      <w:r>
        <w:rPr>
          <w:rStyle w:val="18"/>
          <w:rFonts w:hint="eastAsia" w:ascii="仿宋" w:hAnsi="仿宋" w:eastAsia="仿宋"/>
          <w:bCs/>
          <w:color w:val="000000" w:themeColor="text1"/>
          <w:sz w:val="32"/>
          <w:szCs w:val="32"/>
          <w14:textFill>
            <w14:solidFill>
              <w14:schemeClr w14:val="tx1"/>
            </w14:solidFill>
          </w14:textFill>
        </w:rPr>
        <w:t>4.社会保障和就业（类）行政事业单位养老支出（款）机关事业单位基本养老保险缴费支出（项）</w:t>
      </w:r>
      <w:r>
        <w:rPr>
          <w:rStyle w:val="18"/>
          <w:rFonts w:ascii="仿宋" w:hAnsi="仿宋" w:eastAsia="仿宋"/>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支出决算为185.95万元，完成预算100</w:t>
      </w:r>
      <w:r>
        <w:rPr>
          <w:rStyle w:val="18"/>
          <w:rFonts w:ascii="仿宋" w:hAnsi="仿宋" w:eastAsia="仿宋"/>
          <w:b w:val="0"/>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，决算数</w:t>
      </w:r>
      <w:r>
        <w:rPr>
          <w:rStyle w:val="18"/>
          <w:rFonts w:hint="eastAsia" w:ascii="仿宋" w:hAnsi="仿宋" w:eastAsia="仿宋"/>
          <w:b w:val="0"/>
          <w:bCs/>
          <w:color w:val="000000" w:themeColor="text1"/>
          <w:sz w:val="32"/>
          <w:szCs w:val="32"/>
          <w:lang w:val="en-US" w:eastAsia="zh-CN"/>
          <w14:textFill>
            <w14:solidFill>
              <w14:schemeClr w14:val="tx1"/>
            </w14:solidFill>
          </w14:textFill>
        </w:rPr>
        <w:t>等于</w:t>
      </w:r>
      <w:r>
        <w:rPr>
          <w:rStyle w:val="18"/>
          <w:rFonts w:hint="eastAsia" w:ascii="仿宋" w:hAnsi="仿宋" w:eastAsia="仿宋"/>
          <w:b w:val="0"/>
          <w:bCs/>
          <w:color w:val="000000" w:themeColor="text1"/>
          <w:sz w:val="32"/>
          <w:szCs w:val="32"/>
          <w14:textFill>
            <w14:solidFill>
              <w14:schemeClr w14:val="tx1"/>
            </w14:solidFill>
          </w14:textFill>
        </w:rPr>
        <w:t>预算数</w:t>
      </w:r>
      <w:r>
        <w:rPr>
          <w:rStyle w:val="18"/>
          <w:rFonts w:hint="eastAsia" w:ascii="仿宋" w:hAnsi="仿宋" w:eastAsia="仿宋"/>
          <w:b w:val="0"/>
          <w:bCs/>
          <w:color w:val="000000" w:themeColor="text1"/>
          <w:sz w:val="32"/>
          <w:szCs w:val="32"/>
          <w:lang w:eastAsia="zh-CN"/>
          <w14:textFill>
            <w14:solidFill>
              <w14:schemeClr w14:val="tx1"/>
            </w14:solidFill>
          </w14:textFill>
        </w:rPr>
        <w:t>。</w:t>
      </w:r>
    </w:p>
    <w:p w14:paraId="60299663">
      <w:pPr>
        <w:pStyle w:val="2"/>
        <w:spacing w:before="93"/>
        <w:ind w:firstLine="790" w:firstLineChars="246"/>
        <w:rPr>
          <w:color w:val="000000" w:themeColor="text1"/>
          <w14:textFill>
            <w14:solidFill>
              <w14:schemeClr w14:val="tx1"/>
            </w14:solidFill>
          </w14:textFill>
        </w:rPr>
      </w:pPr>
      <w:r>
        <w:rPr>
          <w:rStyle w:val="18"/>
          <w:rFonts w:hint="eastAsia" w:ascii="仿宋" w:hAnsi="仿宋" w:eastAsia="仿宋"/>
          <w:bCs/>
          <w:color w:val="000000" w:themeColor="text1"/>
          <w:sz w:val="32"/>
          <w:szCs w:val="32"/>
          <w14:textFill>
            <w14:solidFill>
              <w14:schemeClr w14:val="tx1"/>
            </w14:solidFill>
          </w14:textFill>
        </w:rPr>
        <w:t>5.社会保障和就业（类）行政事业单位养老支出（款）机关事业单位职业年金缴费支出（项）</w:t>
      </w:r>
      <w:r>
        <w:rPr>
          <w:rStyle w:val="18"/>
          <w:rFonts w:ascii="仿宋" w:hAnsi="仿宋" w:eastAsia="仿宋"/>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支出决算为93.06万元，完成预算100</w:t>
      </w:r>
      <w:r>
        <w:rPr>
          <w:rStyle w:val="18"/>
          <w:rFonts w:ascii="仿宋" w:hAnsi="仿宋" w:eastAsia="仿宋"/>
          <w:b w:val="0"/>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，决算数</w:t>
      </w:r>
      <w:r>
        <w:rPr>
          <w:rStyle w:val="18"/>
          <w:rFonts w:hint="eastAsia" w:ascii="仿宋" w:hAnsi="仿宋" w:eastAsia="仿宋"/>
          <w:b w:val="0"/>
          <w:bCs/>
          <w:color w:val="000000" w:themeColor="text1"/>
          <w:sz w:val="32"/>
          <w:szCs w:val="32"/>
          <w:lang w:val="en-US" w:eastAsia="zh-CN"/>
          <w14:textFill>
            <w14:solidFill>
              <w14:schemeClr w14:val="tx1"/>
            </w14:solidFill>
          </w14:textFill>
        </w:rPr>
        <w:t>等于</w:t>
      </w:r>
      <w:r>
        <w:rPr>
          <w:rStyle w:val="18"/>
          <w:rFonts w:hint="eastAsia" w:ascii="仿宋" w:hAnsi="仿宋" w:eastAsia="仿宋"/>
          <w:b w:val="0"/>
          <w:bCs/>
          <w:color w:val="000000" w:themeColor="text1"/>
          <w:sz w:val="32"/>
          <w:szCs w:val="32"/>
          <w14:textFill>
            <w14:solidFill>
              <w14:schemeClr w14:val="tx1"/>
            </w14:solidFill>
          </w14:textFill>
        </w:rPr>
        <w:t>预算数</w:t>
      </w:r>
      <w:r>
        <w:rPr>
          <w:rStyle w:val="18"/>
          <w:rFonts w:hint="eastAsia" w:ascii="仿宋" w:hAnsi="仿宋" w:eastAsia="仿宋"/>
          <w:b w:val="0"/>
          <w:bCs/>
          <w:color w:val="000000" w:themeColor="text1"/>
          <w:sz w:val="32"/>
          <w:szCs w:val="32"/>
          <w:lang w:eastAsia="zh-CN"/>
          <w14:textFill>
            <w14:solidFill>
              <w14:schemeClr w14:val="tx1"/>
            </w14:solidFill>
          </w14:textFill>
        </w:rPr>
        <w:t>。</w:t>
      </w:r>
    </w:p>
    <w:p w14:paraId="59D18395">
      <w:pPr>
        <w:spacing w:line="600" w:lineRule="exact"/>
        <w:ind w:firstLine="643" w:firstLineChars="200"/>
        <w:rPr>
          <w:rStyle w:val="18"/>
          <w:rFonts w:hint="eastAsia" w:ascii="仿宋" w:hAnsi="仿宋" w:eastAsia="仿宋"/>
          <w:b w:val="0"/>
          <w:bCs/>
          <w:color w:val="000000" w:themeColor="text1"/>
          <w:sz w:val="32"/>
          <w:szCs w:val="32"/>
          <w:lang w:eastAsia="zh-CN"/>
          <w14:textFill>
            <w14:solidFill>
              <w14:schemeClr w14:val="tx1"/>
            </w14:solidFill>
          </w14:textFill>
        </w:rPr>
      </w:pPr>
      <w:r>
        <w:rPr>
          <w:rStyle w:val="18"/>
          <w:rFonts w:hint="eastAsia" w:ascii="仿宋" w:hAnsi="仿宋" w:eastAsia="仿宋"/>
          <w:bCs/>
          <w:color w:val="000000" w:themeColor="text1"/>
          <w:sz w:val="32"/>
          <w:szCs w:val="32"/>
          <w14:textFill>
            <w14:solidFill>
              <w14:schemeClr w14:val="tx1"/>
            </w14:solidFill>
          </w14:textFill>
        </w:rPr>
        <w:t>6.</w:t>
      </w:r>
      <w:r>
        <w:rPr>
          <w:rFonts w:hint="eastAsia" w:ascii="仿宋" w:hAnsi="仿宋" w:eastAsia="仿宋"/>
          <w:b/>
          <w:bCs/>
          <w:color w:val="000000" w:themeColor="text1"/>
          <w:sz w:val="32"/>
          <w:szCs w:val="32"/>
          <w14:textFill>
            <w14:solidFill>
              <w14:schemeClr w14:val="tx1"/>
            </w14:solidFill>
          </w14:textFill>
        </w:rPr>
        <w:t>卫生健康</w:t>
      </w:r>
      <w:r>
        <w:rPr>
          <w:rStyle w:val="18"/>
          <w:rFonts w:hint="eastAsia" w:ascii="仿宋" w:hAnsi="仿宋" w:eastAsia="仿宋"/>
          <w:bCs/>
          <w:color w:val="000000" w:themeColor="text1"/>
          <w:sz w:val="32"/>
          <w:szCs w:val="32"/>
          <w14:textFill>
            <w14:solidFill>
              <w14:schemeClr w14:val="tx1"/>
            </w14:solidFill>
          </w14:textFill>
        </w:rPr>
        <w:t>（类）行政事业单位医疗（款）事业单位医疗（项）</w:t>
      </w:r>
      <w:r>
        <w:rPr>
          <w:rStyle w:val="18"/>
          <w:rFonts w:ascii="仿宋" w:hAnsi="仿宋" w:eastAsia="仿宋"/>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支出决算为69.63万元，完成预算100</w:t>
      </w:r>
      <w:r>
        <w:rPr>
          <w:rStyle w:val="18"/>
          <w:rFonts w:ascii="仿宋" w:hAnsi="仿宋" w:eastAsia="仿宋"/>
          <w:b w:val="0"/>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，决算数</w:t>
      </w:r>
      <w:r>
        <w:rPr>
          <w:rStyle w:val="18"/>
          <w:rFonts w:hint="eastAsia" w:ascii="仿宋" w:hAnsi="仿宋" w:eastAsia="仿宋"/>
          <w:b w:val="0"/>
          <w:bCs/>
          <w:color w:val="000000" w:themeColor="text1"/>
          <w:sz w:val="32"/>
          <w:szCs w:val="32"/>
          <w:lang w:val="en-US" w:eastAsia="zh-CN"/>
          <w14:textFill>
            <w14:solidFill>
              <w14:schemeClr w14:val="tx1"/>
            </w14:solidFill>
          </w14:textFill>
        </w:rPr>
        <w:t>等于</w:t>
      </w:r>
      <w:r>
        <w:rPr>
          <w:rStyle w:val="18"/>
          <w:rFonts w:hint="eastAsia" w:ascii="仿宋" w:hAnsi="仿宋" w:eastAsia="仿宋"/>
          <w:b w:val="0"/>
          <w:bCs/>
          <w:color w:val="000000" w:themeColor="text1"/>
          <w:sz w:val="32"/>
          <w:szCs w:val="32"/>
          <w14:textFill>
            <w14:solidFill>
              <w14:schemeClr w14:val="tx1"/>
            </w14:solidFill>
          </w14:textFill>
        </w:rPr>
        <w:t>预算数</w:t>
      </w:r>
      <w:r>
        <w:rPr>
          <w:rStyle w:val="18"/>
          <w:rFonts w:hint="eastAsia" w:ascii="仿宋" w:hAnsi="仿宋" w:eastAsia="仿宋"/>
          <w:b w:val="0"/>
          <w:bCs/>
          <w:color w:val="000000" w:themeColor="text1"/>
          <w:sz w:val="32"/>
          <w:szCs w:val="32"/>
          <w:lang w:eastAsia="zh-CN"/>
          <w14:textFill>
            <w14:solidFill>
              <w14:schemeClr w14:val="tx1"/>
            </w14:solidFill>
          </w14:textFill>
        </w:rPr>
        <w:t>。</w:t>
      </w:r>
    </w:p>
    <w:p w14:paraId="29FBEEC3">
      <w:pPr>
        <w:spacing w:line="600" w:lineRule="exact"/>
        <w:ind w:firstLine="643" w:firstLineChars="200"/>
        <w:rPr>
          <w:rStyle w:val="18"/>
          <w:rFonts w:hint="eastAsia" w:ascii="仿宋" w:hAnsi="仿宋" w:eastAsia="仿宋"/>
          <w:b w:val="0"/>
          <w:bCs/>
          <w:color w:val="000000" w:themeColor="text1"/>
          <w:sz w:val="32"/>
          <w:szCs w:val="32"/>
          <w:lang w:eastAsia="zh-CN"/>
          <w14:textFill>
            <w14:solidFill>
              <w14:schemeClr w14:val="tx1"/>
            </w14:solidFill>
          </w14:textFill>
        </w:rPr>
      </w:pPr>
      <w:r>
        <w:rPr>
          <w:rFonts w:hint="eastAsia" w:ascii="仿宋" w:hAnsi="仿宋" w:eastAsia="仿宋"/>
          <w:b/>
          <w:bCs/>
          <w:color w:val="000000" w:themeColor="text1"/>
          <w:sz w:val="32"/>
          <w:szCs w:val="32"/>
          <w14:textFill>
            <w14:solidFill>
              <w14:schemeClr w14:val="tx1"/>
            </w14:solidFill>
          </w14:textFill>
        </w:rPr>
        <w:t>7.卫生健康</w:t>
      </w:r>
      <w:r>
        <w:rPr>
          <w:rStyle w:val="18"/>
          <w:rFonts w:hint="eastAsia" w:ascii="仿宋" w:hAnsi="仿宋" w:eastAsia="仿宋"/>
          <w:bCs/>
          <w:color w:val="000000" w:themeColor="text1"/>
          <w:sz w:val="32"/>
          <w:szCs w:val="32"/>
          <w14:textFill>
            <w14:solidFill>
              <w14:schemeClr w14:val="tx1"/>
            </w14:solidFill>
          </w14:textFill>
        </w:rPr>
        <w:t>（类）行政事业单位医疗（款）其他行政事业单位医疗支出（项）</w:t>
      </w:r>
      <w:r>
        <w:rPr>
          <w:rStyle w:val="18"/>
          <w:rFonts w:ascii="仿宋" w:hAnsi="仿宋" w:eastAsia="仿宋"/>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 xml:space="preserve">支出决算为79.76万元，完成预算100 </w:t>
      </w:r>
      <w:r>
        <w:rPr>
          <w:rStyle w:val="18"/>
          <w:rFonts w:ascii="仿宋" w:hAnsi="仿宋" w:eastAsia="仿宋"/>
          <w:b w:val="0"/>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，决算数</w:t>
      </w:r>
      <w:r>
        <w:rPr>
          <w:rStyle w:val="18"/>
          <w:rFonts w:hint="eastAsia" w:ascii="仿宋" w:hAnsi="仿宋" w:eastAsia="仿宋"/>
          <w:b w:val="0"/>
          <w:bCs/>
          <w:color w:val="000000" w:themeColor="text1"/>
          <w:sz w:val="32"/>
          <w:szCs w:val="32"/>
          <w:lang w:val="en-US" w:eastAsia="zh-CN"/>
          <w14:textFill>
            <w14:solidFill>
              <w14:schemeClr w14:val="tx1"/>
            </w14:solidFill>
          </w14:textFill>
        </w:rPr>
        <w:t>等于</w:t>
      </w:r>
      <w:r>
        <w:rPr>
          <w:rStyle w:val="18"/>
          <w:rFonts w:hint="eastAsia" w:ascii="仿宋" w:hAnsi="仿宋" w:eastAsia="仿宋"/>
          <w:b w:val="0"/>
          <w:bCs/>
          <w:color w:val="000000" w:themeColor="text1"/>
          <w:sz w:val="32"/>
          <w:szCs w:val="32"/>
          <w14:textFill>
            <w14:solidFill>
              <w14:schemeClr w14:val="tx1"/>
            </w14:solidFill>
          </w14:textFill>
        </w:rPr>
        <w:t>预算数</w:t>
      </w:r>
      <w:r>
        <w:rPr>
          <w:rStyle w:val="18"/>
          <w:rFonts w:hint="eastAsia" w:ascii="仿宋" w:hAnsi="仿宋" w:eastAsia="仿宋"/>
          <w:b w:val="0"/>
          <w:bCs/>
          <w:color w:val="000000" w:themeColor="text1"/>
          <w:sz w:val="32"/>
          <w:szCs w:val="32"/>
          <w:lang w:eastAsia="zh-CN"/>
          <w14:textFill>
            <w14:solidFill>
              <w14:schemeClr w14:val="tx1"/>
            </w14:solidFill>
          </w14:textFill>
        </w:rPr>
        <w:t>。</w:t>
      </w:r>
    </w:p>
    <w:p w14:paraId="219305C9">
      <w:pPr>
        <w:spacing w:line="600" w:lineRule="exact"/>
        <w:ind w:firstLine="643" w:firstLineChars="200"/>
        <w:rPr>
          <w:rStyle w:val="18"/>
          <w:rFonts w:hint="eastAsia" w:ascii="仿宋" w:hAnsi="仿宋" w:eastAsia="仿宋"/>
          <w:b w:val="0"/>
          <w:bCs/>
          <w:color w:val="000000" w:themeColor="text1"/>
          <w:sz w:val="32"/>
          <w:szCs w:val="32"/>
          <w14:textFill>
            <w14:solidFill>
              <w14:schemeClr w14:val="tx1"/>
            </w14:solidFill>
          </w14:textFill>
        </w:rPr>
      </w:pPr>
      <w:r>
        <w:rPr>
          <w:rFonts w:hint="eastAsia" w:ascii="仿宋" w:hAnsi="仿宋" w:eastAsia="仿宋"/>
          <w:b/>
          <w:bCs/>
          <w:color w:val="000000" w:themeColor="text1"/>
          <w:sz w:val="32"/>
          <w:szCs w:val="32"/>
          <w14:textFill>
            <w14:solidFill>
              <w14:schemeClr w14:val="tx1"/>
            </w14:solidFill>
          </w14:textFill>
        </w:rPr>
        <w:t>8.卫生健康</w:t>
      </w:r>
      <w:r>
        <w:rPr>
          <w:rStyle w:val="18"/>
          <w:rFonts w:hint="eastAsia" w:ascii="仿宋" w:hAnsi="仿宋" w:eastAsia="仿宋"/>
          <w:bCs/>
          <w:color w:val="000000" w:themeColor="text1"/>
          <w:sz w:val="32"/>
          <w:szCs w:val="32"/>
          <w14:textFill>
            <w14:solidFill>
              <w14:schemeClr w14:val="tx1"/>
            </w14:solidFill>
          </w14:textFill>
        </w:rPr>
        <w:t>（类）其他卫生健康支出（款）其他卫生健康支出（项）</w:t>
      </w:r>
      <w:r>
        <w:rPr>
          <w:rStyle w:val="18"/>
          <w:rFonts w:ascii="仿宋" w:hAnsi="仿宋" w:eastAsia="仿宋"/>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 xml:space="preserve">支出决算为1.49万元，完成预算100 </w:t>
      </w:r>
      <w:r>
        <w:rPr>
          <w:rStyle w:val="18"/>
          <w:rFonts w:ascii="仿宋" w:hAnsi="仿宋" w:eastAsia="仿宋"/>
          <w:b w:val="0"/>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，决算数</w:t>
      </w:r>
      <w:r>
        <w:rPr>
          <w:rStyle w:val="18"/>
          <w:rFonts w:hint="eastAsia" w:ascii="仿宋" w:hAnsi="仿宋" w:eastAsia="仿宋"/>
          <w:b w:val="0"/>
          <w:bCs/>
          <w:color w:val="000000" w:themeColor="text1"/>
          <w:sz w:val="32"/>
          <w:szCs w:val="32"/>
          <w:lang w:val="en-US" w:eastAsia="zh-CN"/>
          <w14:textFill>
            <w14:solidFill>
              <w14:schemeClr w14:val="tx1"/>
            </w14:solidFill>
          </w14:textFill>
        </w:rPr>
        <w:t>等于</w:t>
      </w:r>
      <w:r>
        <w:rPr>
          <w:rStyle w:val="18"/>
          <w:rFonts w:hint="eastAsia" w:ascii="仿宋" w:hAnsi="仿宋" w:eastAsia="仿宋"/>
          <w:b w:val="0"/>
          <w:bCs/>
          <w:color w:val="000000" w:themeColor="text1"/>
          <w:sz w:val="32"/>
          <w:szCs w:val="32"/>
          <w14:textFill>
            <w14:solidFill>
              <w14:schemeClr w14:val="tx1"/>
            </w14:solidFill>
          </w14:textFill>
        </w:rPr>
        <w:t>预算数</w:t>
      </w:r>
      <w:r>
        <w:rPr>
          <w:rStyle w:val="18"/>
          <w:rFonts w:hint="eastAsia" w:ascii="仿宋" w:hAnsi="仿宋" w:eastAsia="仿宋"/>
          <w:b w:val="0"/>
          <w:bCs/>
          <w:color w:val="000000" w:themeColor="text1"/>
          <w:sz w:val="32"/>
          <w:szCs w:val="32"/>
          <w:lang w:eastAsia="zh-CN"/>
          <w14:textFill>
            <w14:solidFill>
              <w14:schemeClr w14:val="tx1"/>
            </w14:solidFill>
          </w14:textFill>
        </w:rPr>
        <w:t>。</w:t>
      </w:r>
    </w:p>
    <w:p w14:paraId="099EB8D7">
      <w:pPr>
        <w:spacing w:line="600" w:lineRule="exact"/>
        <w:ind w:firstLine="643" w:firstLineChars="200"/>
        <w:rPr>
          <w:rFonts w:hint="eastAsia"/>
          <w:lang w:val="en-US" w:eastAsia="zh-CN"/>
        </w:rPr>
      </w:pPr>
      <w:r>
        <w:rPr>
          <w:rFonts w:hint="eastAsia" w:ascii="仿宋" w:hAnsi="仿宋" w:eastAsia="仿宋"/>
          <w:b/>
          <w:bCs/>
          <w:color w:val="000000" w:themeColor="text1"/>
          <w:sz w:val="32"/>
          <w:szCs w:val="32"/>
          <w14:textFill>
            <w14:solidFill>
              <w14:schemeClr w14:val="tx1"/>
            </w14:solidFill>
          </w14:textFill>
        </w:rPr>
        <w:t>9.</w:t>
      </w:r>
      <w:r>
        <w:rPr>
          <w:rFonts w:hint="eastAsia"/>
          <w:color w:val="000000" w:themeColor="text1"/>
          <w14:textFill>
            <w14:solidFill>
              <w14:schemeClr w14:val="tx1"/>
            </w14:solidFill>
          </w14:textFill>
        </w:rPr>
        <w:t xml:space="preserve"> </w:t>
      </w:r>
      <w:r>
        <w:rPr>
          <w:rFonts w:hint="eastAsia" w:ascii="仿宋" w:hAnsi="仿宋" w:eastAsia="仿宋"/>
          <w:b/>
          <w:bCs/>
          <w:color w:val="000000" w:themeColor="text1"/>
          <w:sz w:val="32"/>
          <w:szCs w:val="32"/>
          <w14:textFill>
            <w14:solidFill>
              <w14:schemeClr w14:val="tx1"/>
            </w14:solidFill>
          </w14:textFill>
        </w:rPr>
        <w:t>住房保障支出</w:t>
      </w:r>
      <w:r>
        <w:rPr>
          <w:rStyle w:val="18"/>
          <w:rFonts w:hint="eastAsia" w:ascii="仿宋" w:hAnsi="仿宋" w:eastAsia="仿宋"/>
          <w:bCs/>
          <w:color w:val="000000" w:themeColor="text1"/>
          <w:sz w:val="32"/>
          <w:szCs w:val="32"/>
          <w14:textFill>
            <w14:solidFill>
              <w14:schemeClr w14:val="tx1"/>
            </w14:solidFill>
          </w14:textFill>
        </w:rPr>
        <w:t>（类）住房改革支出（款）住房公积金（项）</w:t>
      </w:r>
      <w:r>
        <w:rPr>
          <w:rStyle w:val="18"/>
          <w:rFonts w:ascii="仿宋" w:hAnsi="仿宋" w:eastAsia="仿宋"/>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 xml:space="preserve">支出决算为158.83万元，完成预算100 </w:t>
      </w:r>
      <w:r>
        <w:rPr>
          <w:rStyle w:val="18"/>
          <w:rFonts w:ascii="仿宋" w:hAnsi="仿宋" w:eastAsia="仿宋"/>
          <w:b w:val="0"/>
          <w:bCs/>
          <w:color w:val="000000" w:themeColor="text1"/>
          <w:sz w:val="32"/>
          <w:szCs w:val="32"/>
          <w14:textFill>
            <w14:solidFill>
              <w14:schemeClr w14:val="tx1"/>
            </w14:solidFill>
          </w14:textFill>
        </w:rPr>
        <w:t>%</w:t>
      </w:r>
      <w:r>
        <w:rPr>
          <w:rStyle w:val="18"/>
          <w:rFonts w:hint="eastAsia" w:ascii="仿宋" w:hAnsi="仿宋" w:eastAsia="仿宋"/>
          <w:b w:val="0"/>
          <w:bCs/>
          <w:color w:val="000000" w:themeColor="text1"/>
          <w:sz w:val="32"/>
          <w:szCs w:val="32"/>
          <w14:textFill>
            <w14:solidFill>
              <w14:schemeClr w14:val="tx1"/>
            </w14:solidFill>
          </w14:textFill>
        </w:rPr>
        <w:t>，决算数</w:t>
      </w:r>
      <w:r>
        <w:rPr>
          <w:rStyle w:val="18"/>
          <w:rFonts w:hint="eastAsia" w:ascii="仿宋" w:hAnsi="仿宋" w:eastAsia="仿宋"/>
          <w:b w:val="0"/>
          <w:bCs/>
          <w:color w:val="000000" w:themeColor="text1"/>
          <w:sz w:val="32"/>
          <w:szCs w:val="32"/>
          <w:lang w:val="en-US" w:eastAsia="zh-CN"/>
          <w14:textFill>
            <w14:solidFill>
              <w14:schemeClr w14:val="tx1"/>
            </w14:solidFill>
          </w14:textFill>
        </w:rPr>
        <w:t>等于</w:t>
      </w:r>
      <w:r>
        <w:rPr>
          <w:rStyle w:val="18"/>
          <w:rFonts w:hint="eastAsia" w:ascii="仿宋" w:hAnsi="仿宋" w:eastAsia="仿宋"/>
          <w:b w:val="0"/>
          <w:bCs/>
          <w:color w:val="000000" w:themeColor="text1"/>
          <w:sz w:val="32"/>
          <w:szCs w:val="32"/>
          <w14:textFill>
            <w14:solidFill>
              <w14:schemeClr w14:val="tx1"/>
            </w14:solidFill>
          </w14:textFill>
        </w:rPr>
        <w:t>预算数</w:t>
      </w:r>
      <w:r>
        <w:rPr>
          <w:rStyle w:val="18"/>
          <w:rFonts w:hint="eastAsia" w:ascii="仿宋" w:hAnsi="仿宋" w:eastAsia="仿宋"/>
          <w:b w:val="0"/>
          <w:bCs/>
          <w:color w:val="000000" w:themeColor="text1"/>
          <w:sz w:val="32"/>
          <w:szCs w:val="32"/>
          <w:lang w:eastAsia="zh-CN"/>
          <w14:textFill>
            <w14:solidFill>
              <w14:schemeClr w14:val="tx1"/>
            </w14:solidFill>
          </w14:textFill>
        </w:rPr>
        <w:t>。</w:t>
      </w:r>
    </w:p>
    <w:p w14:paraId="18B33CB3">
      <w:pPr>
        <w:tabs>
          <w:tab w:val="right" w:pos="8306"/>
        </w:tabs>
        <w:spacing w:line="600" w:lineRule="exact"/>
        <w:ind w:firstLine="640" w:firstLineChars="0"/>
        <w:outlineLvl w:val="0"/>
        <w:rPr>
          <w:rStyle w:val="32"/>
          <w:rFonts w:ascii="Times New Roman" w:hAnsi="Times New Roman"/>
          <w:color w:val="auto"/>
          <w:highlight w:val="none"/>
        </w:rPr>
      </w:pPr>
      <w:bookmarkStart w:id="26" w:name="_Toc15396608"/>
      <w:bookmarkStart w:id="27" w:name="_Toc15377214"/>
      <w:r>
        <w:rPr>
          <w:rFonts w:hint="eastAsia" w:ascii="Times New Roman" w:hAnsi="Times New Roman" w:eastAsia="黑体"/>
          <w:color w:val="auto"/>
          <w:sz w:val="32"/>
          <w:szCs w:val="32"/>
          <w:highlight w:val="none"/>
        </w:rPr>
        <w:t>六</w:t>
      </w:r>
      <w:r>
        <w:rPr>
          <w:rFonts w:hint="eastAsia" w:ascii="Times New Roman" w:hAnsi="Times New Roman" w:eastAsia="黑体"/>
          <w:b/>
          <w:color w:val="auto"/>
          <w:sz w:val="32"/>
          <w:szCs w:val="32"/>
          <w:highlight w:val="none"/>
        </w:rPr>
        <w:t>、一</w:t>
      </w:r>
      <w:r>
        <w:rPr>
          <w:rStyle w:val="32"/>
          <w:rFonts w:hint="eastAsia" w:ascii="Times New Roman" w:hAnsi="Times New Roman" w:eastAsia="黑体"/>
          <w:b w:val="0"/>
          <w:color w:val="auto"/>
          <w:highlight w:val="none"/>
        </w:rPr>
        <w:t>般公共预算财政拨款基本支出决算情况说明</w:t>
      </w:r>
      <w:bookmarkEnd w:id="26"/>
      <w:bookmarkEnd w:id="27"/>
      <w:r>
        <w:rPr>
          <w:rStyle w:val="32"/>
          <w:rFonts w:ascii="Times New Roman" w:hAnsi="Times New Roman" w:eastAsia="黑体"/>
          <w:b w:val="0"/>
          <w:color w:val="auto"/>
          <w:highlight w:val="none"/>
        </w:rPr>
        <w:tab/>
      </w:r>
    </w:p>
    <w:p w14:paraId="0626931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2024年度一般公共预算财政拨款基本支出</w:t>
      </w:r>
      <w:r>
        <w:rPr>
          <w:rFonts w:hint="eastAsia" w:ascii="仿宋_GB2312" w:hAnsi="仿宋_GB2312" w:eastAsia="仿宋_GB2312" w:cs="仿宋_GB2312"/>
          <w:sz w:val="32"/>
          <w:szCs w:val="32"/>
        </w:rPr>
        <w:t>2394.48</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元，其中：</w:t>
      </w:r>
    </w:p>
    <w:p w14:paraId="40C50D40">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人员经费2218.3万元，主要包括：基本工资518.6万元、津贴补贴40.45万元、奖金469.29万元、绩效工资317.18万元、机关事业单位基本养老保险缴费185.95万元、职业年金缴费93.06万元、职工基本医疗保险缴费75.95万元、公务员医疗补助缴费36.04万元、其他社会保障缴费44.2万元、其他工资福利支出9.04万元、抚恤金4.7万元、生活补助4.53万元、住房公积金158.83万元、其他对个人和家庭的补助支出260.49万元。</w:t>
      </w:r>
      <w:r>
        <w:rPr>
          <w:rFonts w:hint="eastAsia" w:ascii="Times New Roman" w:hAnsi="Times New Roman" w:eastAsia="仿宋_GB2312" w:cs="仿宋_GB2312"/>
          <w:color w:val="auto"/>
          <w:kern w:val="2"/>
          <w:sz w:val="32"/>
          <w:szCs w:val="32"/>
          <w:highlight w:val="none"/>
          <w:lang w:val="en-US" w:eastAsia="zh-CN" w:bidi="ar-SA"/>
        </w:rPr>
        <w:br w:type="textWrapping"/>
      </w:r>
      <w:r>
        <w:rPr>
          <w:rFonts w:hint="eastAsia" w:ascii="Times New Roman" w:hAnsi="Times New Roman" w:eastAsia="仿宋_GB2312" w:cs="仿宋_GB2312"/>
          <w:color w:val="auto"/>
          <w:kern w:val="2"/>
          <w:sz w:val="32"/>
          <w:szCs w:val="32"/>
          <w:highlight w:val="none"/>
          <w:lang w:val="en-US" w:eastAsia="zh-CN" w:bidi="ar-SA"/>
        </w:rPr>
        <w:t>　　公用经费</w:t>
      </w:r>
      <w:r>
        <w:rPr>
          <w:rFonts w:hint="eastAsia" w:ascii="仿宋_GB2312" w:hAnsi="仿宋_GB2312" w:eastAsia="仿宋_GB2312" w:cs="仿宋_GB2312"/>
          <w:sz w:val="32"/>
          <w:szCs w:val="32"/>
        </w:rPr>
        <w:t>176.18</w:t>
      </w:r>
      <w:r>
        <w:rPr>
          <w:rFonts w:hint="eastAsia" w:ascii="仿宋_GB2312" w:hAnsi="仿宋_GB2312" w:eastAsia="仿宋_GB2312" w:cs="仿宋_GB2312"/>
          <w:color w:val="auto"/>
          <w:kern w:val="2"/>
          <w:sz w:val="32"/>
          <w:szCs w:val="32"/>
          <w:highlight w:val="none"/>
          <w:lang w:val="en-US" w:eastAsia="zh-CN" w:bidi="ar-SA"/>
        </w:rPr>
        <w:t>万</w:t>
      </w:r>
      <w:r>
        <w:rPr>
          <w:rFonts w:hint="eastAsia" w:ascii="Times New Roman" w:hAnsi="Times New Roman" w:eastAsia="仿宋_GB2312" w:cs="仿宋_GB2312"/>
          <w:color w:val="auto"/>
          <w:kern w:val="2"/>
          <w:sz w:val="32"/>
          <w:szCs w:val="32"/>
          <w:highlight w:val="none"/>
          <w:lang w:val="en-US" w:eastAsia="zh-CN" w:bidi="ar-SA"/>
        </w:rPr>
        <w:t>元，主要包括：办公费36.04万元、邮电费10.23万元、差旅费32.62万元、培训费1.7万元、公务接待费0.15万元、工会经费17.37万元、福利费25.43万元、公务用车运行维护费7.2万元、其他交通费3.72万元、其他商品和服务支出41.72万元。</w:t>
      </w:r>
    </w:p>
    <w:p w14:paraId="7E8BAF8F">
      <w:pPr>
        <w:spacing w:line="600" w:lineRule="exact"/>
        <w:ind w:firstLine="640" w:firstLineChars="0"/>
        <w:outlineLvl w:val="0"/>
        <w:rPr>
          <w:rStyle w:val="32"/>
          <w:rFonts w:ascii="Times New Roman" w:hAnsi="Times New Roman" w:eastAsia="黑体"/>
          <w:b w:val="0"/>
          <w:color w:val="auto"/>
          <w:highlight w:val="none"/>
        </w:rPr>
      </w:pPr>
      <w:bookmarkStart w:id="28" w:name="_Toc15377215"/>
      <w:bookmarkStart w:id="29" w:name="_Toc15396609"/>
      <w:r>
        <w:rPr>
          <w:rFonts w:hint="eastAsia" w:ascii="Times New Roman" w:hAnsi="Times New Roman" w:eastAsia="黑体"/>
          <w:color w:val="auto"/>
          <w:sz w:val="32"/>
          <w:szCs w:val="32"/>
          <w:highlight w:val="none"/>
        </w:rPr>
        <w:t>七、</w:t>
      </w:r>
      <w:r>
        <w:rPr>
          <w:rStyle w:val="32"/>
          <w:rFonts w:hint="eastAsia" w:ascii="Times New Roman" w:hAnsi="Times New Roman" w:eastAsia="黑体"/>
          <w:b w:val="0"/>
          <w:color w:val="auto"/>
          <w:highlight w:val="none"/>
        </w:rPr>
        <w:t>财政拨款</w:t>
      </w:r>
      <w:r>
        <w:rPr>
          <w:rStyle w:val="32"/>
          <w:rFonts w:hint="eastAsia" w:ascii="Times New Roman" w:hAnsi="Times New Roman" w:eastAsia="黑体"/>
          <w:color w:val="auto"/>
          <w:highlight w:val="none"/>
        </w:rPr>
        <w:t>“</w:t>
      </w:r>
      <w:r>
        <w:rPr>
          <w:rStyle w:val="32"/>
          <w:rFonts w:hint="eastAsia" w:ascii="Times New Roman" w:hAnsi="Times New Roman" w:eastAsia="黑体"/>
          <w:b w:val="0"/>
          <w:color w:val="auto"/>
          <w:highlight w:val="none"/>
        </w:rPr>
        <w:t>三公”经费支出决算情况说明</w:t>
      </w:r>
      <w:bookmarkEnd w:id="28"/>
      <w:bookmarkEnd w:id="29"/>
    </w:p>
    <w:p w14:paraId="00FA1054">
      <w:pPr>
        <w:spacing w:line="600" w:lineRule="exact"/>
        <w:ind w:firstLine="643" w:firstLineChars="200"/>
        <w:outlineLvl w:val="1"/>
        <w:rPr>
          <w:rFonts w:hint="eastAsia" w:ascii="Times New Roman" w:hAnsi="Times New Roman" w:eastAsia="楷体_GB2312" w:cs="楷体_GB2312"/>
          <w:b/>
          <w:color w:val="auto"/>
          <w:sz w:val="32"/>
          <w:szCs w:val="32"/>
          <w:highlight w:val="none"/>
        </w:rPr>
      </w:pPr>
      <w:bookmarkStart w:id="30" w:name="_Toc15377216"/>
      <w:r>
        <w:rPr>
          <w:rFonts w:hint="eastAsia" w:ascii="Times New Roman" w:hAnsi="Times New Roman" w:eastAsia="楷体_GB2312" w:cs="楷体_GB2312"/>
          <w:b/>
          <w:color w:val="auto"/>
          <w:sz w:val="32"/>
          <w:szCs w:val="32"/>
          <w:highlight w:val="none"/>
        </w:rPr>
        <w:t>（一）“三公”经费财政拨款支出决算总体情况说明</w:t>
      </w:r>
      <w:bookmarkEnd w:id="30"/>
    </w:p>
    <w:p w14:paraId="3935FFA6">
      <w:pPr>
        <w:spacing w:line="600" w:lineRule="exact"/>
        <w:ind w:firstLine="640"/>
        <w:rPr>
          <w:rFonts w:hint="eastAsia" w:ascii="Times New Roman" w:hAnsi="Times New Roman" w:eastAsia="仿宋_GB2312" w:cs="仿宋_GB2312"/>
          <w:b/>
          <w:bCs/>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2024年度“三公”经费财政拨款支出决算为</w:t>
      </w:r>
      <w:r>
        <w:rPr>
          <w:rFonts w:hint="eastAsia" w:ascii="仿宋_GB2312" w:hAnsi="仿宋_GB2312" w:eastAsia="仿宋_GB2312" w:cs="仿宋_GB2312"/>
          <w:sz w:val="32"/>
          <w:szCs w:val="32"/>
        </w:rPr>
        <w:t>7.35</w:t>
      </w:r>
      <w:r>
        <w:rPr>
          <w:rFonts w:hint="eastAsia" w:ascii="仿宋_GB2312" w:hAnsi="仿宋_GB2312" w:eastAsia="仿宋_GB2312" w:cs="仿宋_GB2312"/>
          <w:color w:val="auto"/>
          <w:kern w:val="2"/>
          <w:sz w:val="32"/>
          <w:szCs w:val="32"/>
          <w:highlight w:val="none"/>
          <w:lang w:val="en-US" w:eastAsia="zh-CN" w:bidi="ar-SA"/>
        </w:rPr>
        <w:t>万元，完成预算</w:t>
      </w:r>
      <w:r>
        <w:rPr>
          <w:rFonts w:hint="eastAsia" w:ascii="仿宋_GB2312" w:hAnsi="仿宋_GB2312" w:eastAsia="仿宋_GB2312" w:cs="仿宋_GB2312"/>
          <w:sz w:val="32"/>
          <w:szCs w:val="32"/>
        </w:rPr>
        <w:t>100</w:t>
      </w:r>
      <w:r>
        <w:rPr>
          <w:rFonts w:hint="eastAsia" w:ascii="仿宋_GB2312" w:hAnsi="仿宋_GB2312"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较上年度减少4.06万元，下降35.58%。</w:t>
      </w:r>
      <w:r>
        <w:rPr>
          <w:rStyle w:val="18"/>
          <w:rFonts w:hint="eastAsia" w:ascii="仿宋" w:hAnsi="仿宋" w:eastAsia="仿宋"/>
          <w:b w:val="0"/>
          <w:bCs/>
          <w:sz w:val="32"/>
          <w:szCs w:val="32"/>
        </w:rPr>
        <w:t>决算数</w:t>
      </w:r>
      <w:r>
        <w:rPr>
          <w:rStyle w:val="18"/>
          <w:rFonts w:hint="eastAsia" w:ascii="仿宋" w:hAnsi="仿宋" w:eastAsia="仿宋"/>
          <w:b w:val="0"/>
          <w:bCs/>
          <w:sz w:val="32"/>
          <w:szCs w:val="32"/>
          <w:lang w:val="en-US" w:eastAsia="zh-CN"/>
        </w:rPr>
        <w:t>等于</w:t>
      </w:r>
      <w:r>
        <w:rPr>
          <w:rStyle w:val="18"/>
          <w:rFonts w:hint="eastAsia" w:ascii="仿宋" w:hAnsi="仿宋" w:eastAsia="仿宋"/>
          <w:b w:val="0"/>
          <w:bCs/>
          <w:sz w:val="32"/>
          <w:szCs w:val="32"/>
        </w:rPr>
        <w:t>预算数</w:t>
      </w:r>
      <w:r>
        <w:rPr>
          <w:rStyle w:val="18"/>
          <w:rFonts w:hint="eastAsia" w:ascii="仿宋" w:hAnsi="仿宋" w:eastAsia="仿宋"/>
          <w:b w:val="0"/>
          <w:bCs/>
          <w:sz w:val="32"/>
          <w:szCs w:val="32"/>
          <w:lang w:eastAsia="zh-CN"/>
        </w:rPr>
        <w:t>。</w:t>
      </w:r>
    </w:p>
    <w:p w14:paraId="451C1B06">
      <w:pPr>
        <w:spacing w:line="600" w:lineRule="exact"/>
        <w:ind w:firstLine="643" w:firstLineChars="200"/>
        <w:outlineLvl w:val="1"/>
        <w:rPr>
          <w:rFonts w:hint="eastAsia" w:ascii="Times New Roman" w:hAnsi="Times New Roman" w:eastAsia="楷体_GB2312" w:cs="楷体_GB2312"/>
          <w:b/>
          <w:color w:val="auto"/>
          <w:sz w:val="32"/>
          <w:szCs w:val="32"/>
          <w:highlight w:val="none"/>
        </w:rPr>
      </w:pPr>
      <w:bookmarkStart w:id="31" w:name="_Toc15377217"/>
      <w:r>
        <w:rPr>
          <w:rFonts w:hint="eastAsia" w:ascii="Times New Roman" w:hAnsi="Times New Roman" w:eastAsia="楷体_GB2312" w:cs="楷体_GB2312"/>
          <w:b/>
          <w:color w:val="auto"/>
          <w:sz w:val="32"/>
          <w:szCs w:val="32"/>
          <w:highlight w:val="none"/>
        </w:rPr>
        <w:t>（二）“三公”经费财政拨款支出决算具体情况说明</w:t>
      </w:r>
      <w:bookmarkEnd w:id="31"/>
    </w:p>
    <w:p w14:paraId="4E01E475">
      <w:pPr>
        <w:spacing w:line="600"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2024年度“三公”经费财政拨款支出决算中，因公出国（境）费支出决算</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万元，占0%；公务用车购置及运行维护费支出决算</w:t>
      </w:r>
      <w:r>
        <w:rPr>
          <w:rFonts w:hint="eastAsia" w:ascii="仿宋_GB2312" w:hAnsi="仿宋_GB2312" w:eastAsia="仿宋_GB2312" w:cs="仿宋_GB2312"/>
          <w:sz w:val="32"/>
          <w:szCs w:val="32"/>
        </w:rPr>
        <w:t>7.2</w:t>
      </w:r>
      <w:r>
        <w:rPr>
          <w:rFonts w:hint="eastAsia" w:ascii="仿宋_GB2312" w:hAnsi="仿宋_GB2312" w:eastAsia="仿宋_GB2312" w:cs="仿宋_GB2312"/>
          <w:color w:val="auto"/>
          <w:kern w:val="2"/>
          <w:sz w:val="32"/>
          <w:szCs w:val="32"/>
          <w:highlight w:val="none"/>
          <w:lang w:val="en-US" w:eastAsia="zh-CN" w:bidi="ar-SA"/>
        </w:rPr>
        <w:t>万元，占97.96%；公务接待费支出决算</w:t>
      </w:r>
      <w:r>
        <w:rPr>
          <w:rFonts w:hint="eastAsia" w:ascii="仿宋_GB2312" w:hAnsi="仿宋_GB2312" w:eastAsia="仿宋_GB2312" w:cs="仿宋_GB2312"/>
          <w:sz w:val="32"/>
          <w:szCs w:val="32"/>
        </w:rPr>
        <w:t>0.15</w:t>
      </w:r>
      <w:r>
        <w:rPr>
          <w:rFonts w:hint="eastAsia" w:ascii="仿宋_GB2312" w:hAnsi="仿宋_GB2312" w:eastAsia="仿宋_GB2312" w:cs="仿宋_GB2312"/>
          <w:color w:val="auto"/>
          <w:kern w:val="2"/>
          <w:sz w:val="32"/>
          <w:szCs w:val="32"/>
          <w:highlight w:val="none"/>
          <w:lang w:val="en-US" w:eastAsia="zh-CN" w:bidi="ar-SA"/>
        </w:rPr>
        <w:t>万元，占2.04%。具体情况如下：</w:t>
      </w:r>
    </w:p>
    <w:p w14:paraId="33327980">
      <w:pPr>
        <w:pStyle w:val="2"/>
        <w:rPr>
          <w:rFonts w:hint="eastAsia" w:ascii="仿宋_GB2312" w:hAnsi="仿宋_GB2312" w:eastAsia="仿宋_GB2312" w:cs="仿宋_GB2312"/>
          <w:color w:val="auto"/>
          <w:kern w:val="2"/>
          <w:sz w:val="32"/>
          <w:szCs w:val="32"/>
          <w:highlight w:val="none"/>
          <w:lang w:val="en-US" w:eastAsia="zh-CN" w:bidi="ar-SA"/>
        </w:rPr>
      </w:pPr>
      <w:r>
        <w:drawing>
          <wp:inline distT="0" distB="0" distL="114300" distR="114300">
            <wp:extent cx="4826000" cy="2743200"/>
            <wp:effectExtent l="4445" t="4445" r="8255" b="14605"/>
            <wp:docPr id="11"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4C5113B">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（图7：“三公”经费财政拨款支出结构）（饼状图）</w:t>
      </w:r>
    </w:p>
    <w:p w14:paraId="583DF116">
      <w:pPr>
        <w:spacing w:line="600" w:lineRule="exact"/>
        <w:ind w:firstLine="640"/>
        <w:rPr>
          <w:rFonts w:hint="eastAsia"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1.因公出国（境）经费支出</w:t>
      </w:r>
      <w:r>
        <w:rPr>
          <w:rFonts w:hint="eastAsia" w:eastAsia="仿宋_GB2312" w:cs="仿宋_GB2312"/>
          <w:b/>
          <w:bCs/>
          <w:color w:val="auto"/>
          <w:kern w:val="2"/>
          <w:sz w:val="32"/>
          <w:szCs w:val="32"/>
          <w:highlight w:val="none"/>
          <w:lang w:val="en-US" w:eastAsia="zh-CN" w:bidi="ar-SA"/>
        </w:rPr>
        <w:t>0</w:t>
      </w:r>
      <w:r>
        <w:rPr>
          <w:rFonts w:hint="eastAsia" w:ascii="Times New Roman" w:hAnsi="Times New Roman" w:eastAsia="仿宋_GB2312" w:cs="仿宋_GB2312"/>
          <w:b/>
          <w:bCs/>
          <w:color w:val="auto"/>
          <w:kern w:val="2"/>
          <w:sz w:val="32"/>
          <w:szCs w:val="32"/>
          <w:highlight w:val="none"/>
          <w:lang w:val="en-US" w:eastAsia="zh-CN" w:bidi="ar-SA"/>
        </w:rPr>
        <w:t>万元，完成预算</w:t>
      </w:r>
      <w:r>
        <w:rPr>
          <w:rFonts w:hint="eastAsia" w:eastAsia="仿宋_GB2312" w:cs="仿宋_GB2312"/>
          <w:b/>
          <w:bCs/>
          <w:color w:val="auto"/>
          <w:kern w:val="2"/>
          <w:sz w:val="32"/>
          <w:szCs w:val="32"/>
          <w:highlight w:val="none"/>
          <w:lang w:val="en-US" w:eastAsia="zh-CN" w:bidi="ar-SA"/>
        </w:rPr>
        <w:t>100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全年安排因公出国（境）团</w:t>
      </w:r>
      <w:r>
        <w:rPr>
          <w:rFonts w:hint="eastAsia" w:ascii="仿宋_GB2312" w:hAnsi="仿宋_GB2312" w:eastAsia="仿宋_GB2312" w:cs="仿宋_GB2312"/>
          <w:color w:val="auto"/>
          <w:kern w:val="2"/>
          <w:sz w:val="32"/>
          <w:szCs w:val="32"/>
          <w:highlight w:val="none"/>
          <w:lang w:val="en-US" w:eastAsia="zh-CN" w:bidi="ar-SA"/>
        </w:rPr>
        <w:t>组</w:t>
      </w:r>
      <w:r>
        <w:rPr>
          <w:rFonts w:hint="eastAsia" w:ascii="仿宋_GB2312" w:hAnsi="仿宋_GB2312" w:eastAsia="仿宋_GB2312" w:cs="仿宋_GB2312"/>
          <w:sz w:val="32"/>
          <w:szCs w:val="32"/>
        </w:rPr>
        <w:t>0</w:t>
      </w:r>
      <w:r>
        <w:rPr>
          <w:rFonts w:hint="eastAsia" w:ascii="Times New Roman" w:hAnsi="Times New Roman" w:eastAsia="仿宋_GB2312" w:cs="仿宋_GB2312"/>
          <w:color w:val="auto"/>
          <w:kern w:val="2"/>
          <w:sz w:val="32"/>
          <w:szCs w:val="32"/>
          <w:highlight w:val="none"/>
          <w:lang w:val="en-US" w:eastAsia="zh-CN" w:bidi="ar-SA"/>
        </w:rPr>
        <w:t>次，出国（境）</w:t>
      </w:r>
      <w:r>
        <w:rPr>
          <w:rFonts w:hint="eastAsia" w:ascii="仿宋_GB2312" w:hAnsi="仿宋_GB2312" w:eastAsia="仿宋_GB2312" w:cs="仿宋_GB2312"/>
          <w:sz w:val="32"/>
          <w:szCs w:val="32"/>
        </w:rPr>
        <w:t>0</w:t>
      </w:r>
      <w:r>
        <w:rPr>
          <w:rFonts w:hint="eastAsia" w:ascii="仿宋_GB2312" w:hAnsi="仿宋_GB2312" w:eastAsia="仿宋_GB2312" w:cs="仿宋_GB2312"/>
          <w:color w:val="auto"/>
          <w:kern w:val="2"/>
          <w:sz w:val="32"/>
          <w:szCs w:val="32"/>
          <w:highlight w:val="none"/>
          <w:lang w:val="en-US" w:eastAsia="zh-CN" w:bidi="ar-SA"/>
        </w:rPr>
        <w:t>人</w:t>
      </w:r>
      <w:r>
        <w:rPr>
          <w:rFonts w:hint="eastAsia" w:ascii="Times New Roman" w:hAnsi="Times New Roman" w:eastAsia="仿宋_GB2312" w:cs="仿宋_GB2312"/>
          <w:color w:val="auto"/>
          <w:kern w:val="2"/>
          <w:sz w:val="32"/>
          <w:szCs w:val="32"/>
          <w:highlight w:val="none"/>
          <w:lang w:val="en-US" w:eastAsia="zh-CN" w:bidi="ar-SA"/>
        </w:rPr>
        <w:t>。因公出国（境）支出决算比2023年</w:t>
      </w:r>
      <w:r>
        <w:rPr>
          <w:rFonts w:hint="eastAsia" w:eastAsia="仿宋_GB2312" w:cs="仿宋_GB2312"/>
          <w:color w:val="auto"/>
          <w:kern w:val="2"/>
          <w:sz w:val="32"/>
          <w:szCs w:val="32"/>
          <w:highlight w:val="none"/>
          <w:lang w:val="en-US" w:eastAsia="zh-CN" w:bidi="ar-SA"/>
        </w:rPr>
        <w:t>持平。</w:t>
      </w:r>
    </w:p>
    <w:p w14:paraId="3A202A7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2.公务用车购置及运行维护费支出</w:t>
      </w:r>
      <w:r>
        <w:rPr>
          <w:rFonts w:hint="eastAsia" w:ascii="仿宋_GB2312" w:hAnsi="仿宋_GB2312" w:eastAsia="仿宋_GB2312" w:cs="仿宋_GB2312"/>
          <w:b/>
          <w:bCs/>
          <w:color w:val="auto"/>
          <w:kern w:val="2"/>
          <w:sz w:val="32"/>
          <w:szCs w:val="32"/>
          <w:highlight w:val="none"/>
          <w:lang w:val="en-US" w:eastAsia="zh-CN" w:bidi="ar-SA"/>
        </w:rPr>
        <w:t>7.2万</w:t>
      </w:r>
      <w:r>
        <w:rPr>
          <w:rFonts w:hint="eastAsia" w:ascii="Times New Roman" w:hAnsi="Times New Roman" w:eastAsia="仿宋_GB2312" w:cs="仿宋_GB2312"/>
          <w:b/>
          <w:bCs/>
          <w:color w:val="auto"/>
          <w:kern w:val="2"/>
          <w:sz w:val="32"/>
          <w:szCs w:val="32"/>
          <w:highlight w:val="none"/>
          <w:lang w:val="en-US" w:eastAsia="zh-CN" w:bidi="ar-SA"/>
        </w:rPr>
        <w:t>元</w:t>
      </w:r>
      <w:r>
        <w:rPr>
          <w:rFonts w:hint="eastAsia"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b/>
          <w:bCs/>
          <w:color w:val="auto"/>
          <w:kern w:val="2"/>
          <w:sz w:val="32"/>
          <w:szCs w:val="32"/>
          <w:highlight w:val="none"/>
          <w:lang w:val="en-US" w:eastAsia="zh-CN" w:bidi="ar-SA"/>
        </w:rPr>
        <w:t>完成预算</w:t>
      </w:r>
      <w:r>
        <w:rPr>
          <w:rFonts w:hint="eastAsia" w:eastAsia="仿宋_GB2312" w:cs="仿宋_GB2312"/>
          <w:b/>
          <w:bCs/>
          <w:color w:val="auto"/>
          <w:kern w:val="2"/>
          <w:sz w:val="32"/>
          <w:szCs w:val="32"/>
          <w:highlight w:val="none"/>
          <w:lang w:val="en-US" w:eastAsia="zh-CN" w:bidi="ar-SA"/>
        </w:rPr>
        <w:t>100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公务用车购置及运行维护费支出决算比2023年度减少3.3</w:t>
      </w:r>
      <w:r>
        <w:rPr>
          <w:rFonts w:hint="eastAsia" w:eastAsia="仿宋_GB2312" w:cs="仿宋_GB2312"/>
          <w:color w:val="auto"/>
          <w:kern w:val="2"/>
          <w:sz w:val="32"/>
          <w:szCs w:val="32"/>
          <w:highlight w:val="none"/>
          <w:lang w:val="en-US" w:eastAsia="zh-CN" w:bidi="ar-SA"/>
        </w:rPr>
        <w:t>2</w:t>
      </w:r>
      <w:r>
        <w:rPr>
          <w:rFonts w:hint="eastAsia" w:ascii="Times New Roman" w:hAnsi="Times New Roman" w:eastAsia="仿宋_GB2312" w:cs="仿宋_GB2312"/>
          <w:color w:val="auto"/>
          <w:kern w:val="2"/>
          <w:sz w:val="32"/>
          <w:szCs w:val="32"/>
          <w:highlight w:val="none"/>
          <w:lang w:val="en-US" w:eastAsia="zh-CN" w:bidi="ar-SA"/>
        </w:rPr>
        <w:t>万元，下降31.56%。主要原因是落实财政过紧日子要求，压缩三公经费</w:t>
      </w:r>
      <w:r>
        <w:rPr>
          <w:rFonts w:hint="eastAsia" w:eastAsia="仿宋_GB2312" w:cs="仿宋_GB2312"/>
          <w:color w:val="auto"/>
          <w:kern w:val="2"/>
          <w:sz w:val="32"/>
          <w:szCs w:val="32"/>
          <w:highlight w:val="none"/>
          <w:lang w:val="en-US" w:eastAsia="zh-CN" w:bidi="ar-SA"/>
        </w:rPr>
        <w:t>。</w:t>
      </w:r>
    </w:p>
    <w:p w14:paraId="0FB37AB9">
      <w:pPr>
        <w:spacing w:line="600" w:lineRule="exact"/>
        <w:ind w:firstLine="640"/>
        <w:rPr>
          <w:rFonts w:hint="eastAsia" w:ascii="仿宋" w:hAnsi="仿宋" w:eastAsia="仿宋"/>
          <w:sz w:val="32"/>
          <w:szCs w:val="32"/>
          <w:lang w:eastAsia="zh-CN"/>
        </w:rPr>
      </w:pPr>
      <w:r>
        <w:rPr>
          <w:rFonts w:hint="eastAsia" w:ascii="仿宋" w:hAnsi="仿宋" w:eastAsia="仿宋"/>
          <w:sz w:val="32"/>
          <w:szCs w:val="32"/>
        </w:rPr>
        <w:t>其中：公务用车购置支出0万元。全年按规定更新购置公务用车0辆，其中：轿车0辆、金额0万元，越野车0辆、金额0万元，载客汽车0辆、金额0万元。截至202</w:t>
      </w:r>
      <w:r>
        <w:rPr>
          <w:rFonts w:hint="eastAsia" w:ascii="仿宋" w:hAnsi="仿宋" w:eastAsia="仿宋"/>
          <w:sz w:val="32"/>
          <w:szCs w:val="32"/>
          <w:lang w:val="en-US" w:eastAsia="zh-CN"/>
        </w:rPr>
        <w:t>4</w:t>
      </w:r>
      <w:r>
        <w:rPr>
          <w:rFonts w:hint="eastAsia" w:ascii="仿宋" w:hAnsi="仿宋" w:eastAsia="仿宋"/>
          <w:sz w:val="32"/>
          <w:szCs w:val="32"/>
        </w:rPr>
        <w:t>年</w:t>
      </w:r>
      <w:r>
        <w:rPr>
          <w:rFonts w:ascii="仿宋" w:hAnsi="仿宋" w:eastAsia="仿宋"/>
          <w:sz w:val="32"/>
          <w:szCs w:val="32"/>
        </w:rPr>
        <w:t>12</w:t>
      </w:r>
      <w:r>
        <w:rPr>
          <w:rFonts w:hint="eastAsia" w:ascii="仿宋" w:hAnsi="仿宋" w:eastAsia="仿宋"/>
          <w:sz w:val="32"/>
          <w:szCs w:val="32"/>
        </w:rPr>
        <w:t>月31日，单位共有公务用车2辆，其中：轿车0辆、越野车1辆、载客汽车1辆。</w:t>
      </w:r>
      <w:r>
        <w:rPr>
          <w:rFonts w:hint="eastAsia" w:ascii="仿宋" w:hAnsi="仿宋" w:eastAsia="仿宋"/>
          <w:sz w:val="32"/>
          <w:szCs w:val="32"/>
          <w:lang w:eastAsia="zh-CN"/>
        </w:rPr>
        <w:t>（</w:t>
      </w:r>
      <w:r>
        <w:rPr>
          <w:rFonts w:hint="eastAsia" w:ascii="仿宋" w:hAnsi="仿宋" w:eastAsia="仿宋"/>
          <w:sz w:val="32"/>
          <w:szCs w:val="32"/>
          <w:lang w:val="en-US" w:eastAsia="zh-CN"/>
        </w:rPr>
        <w:t>注：2024年更新购置公务用车1辆，因使用单位资金，故未在“三公”经费中列支。</w:t>
      </w:r>
      <w:r>
        <w:rPr>
          <w:rFonts w:hint="eastAsia" w:ascii="仿宋" w:hAnsi="仿宋" w:eastAsia="仿宋"/>
          <w:sz w:val="32"/>
          <w:szCs w:val="32"/>
          <w:lang w:eastAsia="zh-CN"/>
        </w:rPr>
        <w:t>）</w:t>
      </w:r>
    </w:p>
    <w:p w14:paraId="380B5496">
      <w:pPr>
        <w:spacing w:line="600" w:lineRule="exact"/>
        <w:ind w:firstLine="640"/>
        <w:rPr>
          <w:rFonts w:hint="eastAsia" w:ascii="仿宋" w:hAnsi="仿宋" w:eastAsia="仿宋"/>
          <w:sz w:val="32"/>
          <w:szCs w:val="32"/>
          <w:lang w:val="en-US" w:eastAsia="zh-CN"/>
        </w:rPr>
      </w:pPr>
      <w:r>
        <w:rPr>
          <w:rFonts w:hint="eastAsia" w:ascii="仿宋" w:hAnsi="仿宋" w:eastAsia="仿宋"/>
          <w:sz w:val="32"/>
          <w:szCs w:val="32"/>
          <w:lang w:val="en-US" w:eastAsia="zh-CN"/>
        </w:rPr>
        <w:t>公务用车运行维护费支出</w:t>
      </w:r>
      <w:r>
        <w:rPr>
          <w:rFonts w:hint="eastAsia" w:ascii="仿宋" w:hAnsi="仿宋" w:eastAsia="仿宋"/>
          <w:sz w:val="32"/>
          <w:szCs w:val="32"/>
        </w:rPr>
        <w:t>7.2</w:t>
      </w:r>
      <w:r>
        <w:rPr>
          <w:rFonts w:hint="eastAsia" w:ascii="仿宋" w:hAnsi="仿宋" w:eastAsia="仿宋"/>
          <w:sz w:val="32"/>
          <w:szCs w:val="32"/>
          <w:lang w:val="en-US" w:eastAsia="zh-CN"/>
        </w:rPr>
        <w:t>万元。</w:t>
      </w:r>
      <w:r>
        <w:rPr>
          <w:rFonts w:hint="eastAsia" w:ascii="仿宋" w:hAnsi="仿宋" w:eastAsia="仿宋"/>
          <w:sz w:val="32"/>
          <w:szCs w:val="32"/>
        </w:rPr>
        <w:t>主要用于我校公务用车</w:t>
      </w:r>
      <w:r>
        <w:rPr>
          <w:rFonts w:hint="eastAsia" w:ascii="仿宋" w:hAnsi="仿宋" w:eastAsia="仿宋"/>
          <w:sz w:val="32"/>
          <w:szCs w:val="32"/>
          <w:lang w:val="en-US" w:eastAsia="zh-CN"/>
        </w:rPr>
        <w:t>所需的公务用车燃料费2万、维修费2.38、过路过桥费0.24、保险费1.38、</w:t>
      </w:r>
      <w:r>
        <w:rPr>
          <w:rFonts w:hint="eastAsia" w:ascii="仿宋" w:hAnsi="仿宋" w:eastAsia="仿宋"/>
          <w:sz w:val="32"/>
          <w:szCs w:val="32"/>
        </w:rPr>
        <w:t>安全奖励费0.05万元、</w:t>
      </w:r>
      <w:r>
        <w:rPr>
          <w:rFonts w:hint="eastAsia" w:ascii="仿宋" w:hAnsi="仿宋" w:eastAsia="仿宋"/>
          <w:sz w:val="32"/>
          <w:szCs w:val="32"/>
          <w:lang w:val="en-US" w:eastAsia="zh-CN"/>
        </w:rPr>
        <w:t>行驶</w:t>
      </w:r>
      <w:r>
        <w:rPr>
          <w:rFonts w:hint="eastAsia" w:ascii="仿宋" w:hAnsi="仿宋" w:eastAsia="仿宋"/>
          <w:sz w:val="32"/>
          <w:szCs w:val="32"/>
        </w:rPr>
        <w:t>补助0.</w:t>
      </w:r>
      <w:r>
        <w:rPr>
          <w:rFonts w:hint="eastAsia" w:ascii="仿宋" w:hAnsi="仿宋" w:eastAsia="仿宋"/>
          <w:sz w:val="32"/>
          <w:szCs w:val="32"/>
          <w:lang w:val="en-US" w:eastAsia="zh-CN"/>
        </w:rPr>
        <w:t>38</w:t>
      </w:r>
      <w:r>
        <w:rPr>
          <w:rFonts w:hint="eastAsia" w:ascii="仿宋" w:hAnsi="仿宋" w:eastAsia="仿宋"/>
          <w:sz w:val="32"/>
          <w:szCs w:val="32"/>
        </w:rPr>
        <w:t>万元、停车等杂费0.</w:t>
      </w:r>
      <w:r>
        <w:rPr>
          <w:rFonts w:hint="eastAsia" w:ascii="仿宋" w:hAnsi="仿宋" w:eastAsia="仿宋"/>
          <w:sz w:val="32"/>
          <w:szCs w:val="32"/>
          <w:lang w:val="en-US" w:eastAsia="zh-CN"/>
        </w:rPr>
        <w:t>76</w:t>
      </w:r>
      <w:r>
        <w:rPr>
          <w:rFonts w:hint="eastAsia" w:ascii="仿宋" w:hAnsi="仿宋" w:eastAsia="仿宋"/>
          <w:sz w:val="32"/>
          <w:szCs w:val="32"/>
        </w:rPr>
        <w:t>万元等支出。</w:t>
      </w:r>
    </w:p>
    <w:p w14:paraId="09F03E67">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b/>
          <w:bCs/>
          <w:color w:val="auto"/>
          <w:kern w:val="2"/>
          <w:sz w:val="32"/>
          <w:szCs w:val="32"/>
          <w:highlight w:val="none"/>
          <w:lang w:val="en-US" w:eastAsia="zh-CN" w:bidi="ar-SA"/>
        </w:rPr>
        <w:t>3.公务接待费支出</w:t>
      </w:r>
      <w:r>
        <w:rPr>
          <w:rFonts w:hint="eastAsia" w:ascii="仿宋_GB2312" w:hAnsi="仿宋_GB2312" w:eastAsia="仿宋_GB2312" w:cs="仿宋_GB2312"/>
          <w:b/>
          <w:bCs/>
          <w:color w:val="auto"/>
          <w:kern w:val="2"/>
          <w:sz w:val="32"/>
          <w:szCs w:val="32"/>
          <w:highlight w:val="none"/>
          <w:lang w:val="en-US" w:eastAsia="zh-CN" w:bidi="ar-SA"/>
        </w:rPr>
        <w:t>0.15万</w:t>
      </w:r>
      <w:r>
        <w:rPr>
          <w:rFonts w:hint="eastAsia" w:ascii="Times New Roman" w:hAnsi="Times New Roman" w:eastAsia="仿宋_GB2312" w:cs="仿宋_GB2312"/>
          <w:b/>
          <w:bCs/>
          <w:color w:val="auto"/>
          <w:kern w:val="2"/>
          <w:sz w:val="32"/>
          <w:szCs w:val="32"/>
          <w:highlight w:val="none"/>
          <w:lang w:val="en-US" w:eastAsia="zh-CN" w:bidi="ar-SA"/>
        </w:rPr>
        <w:t>元，完成预算</w:t>
      </w:r>
      <w:r>
        <w:rPr>
          <w:rFonts w:hint="eastAsia" w:eastAsia="仿宋_GB2312" w:cs="仿宋_GB2312"/>
          <w:b/>
          <w:bCs/>
          <w:color w:val="auto"/>
          <w:kern w:val="2"/>
          <w:sz w:val="32"/>
          <w:szCs w:val="32"/>
          <w:highlight w:val="none"/>
          <w:lang w:val="en-US" w:eastAsia="zh-CN" w:bidi="ar-SA"/>
        </w:rPr>
        <w:t>100</w:t>
      </w:r>
      <w:r>
        <w:rPr>
          <w:rFonts w:hint="eastAsia" w:ascii="Times New Roman" w:hAnsi="Times New Roman" w:eastAsia="仿宋_GB2312" w:cs="仿宋_GB2312"/>
          <w:b/>
          <w:bCs/>
          <w:color w:val="auto"/>
          <w:kern w:val="2"/>
          <w:sz w:val="32"/>
          <w:szCs w:val="32"/>
          <w:highlight w:val="none"/>
          <w:lang w:val="en-US" w:eastAsia="zh-CN" w:bidi="ar-SA"/>
        </w:rPr>
        <w:t>%。</w:t>
      </w:r>
      <w:r>
        <w:rPr>
          <w:rFonts w:hint="eastAsia" w:ascii="Times New Roman" w:hAnsi="Times New Roman" w:eastAsia="仿宋_GB2312" w:cs="仿宋_GB2312"/>
          <w:color w:val="auto"/>
          <w:kern w:val="2"/>
          <w:sz w:val="32"/>
          <w:szCs w:val="32"/>
          <w:highlight w:val="none"/>
          <w:lang w:val="en-US" w:eastAsia="zh-CN" w:bidi="ar-SA"/>
        </w:rPr>
        <w:t>公务接待费支出决算比2023年度减少0.74万元，下降83.15%。主要原因是落实财政过紧日子要求，压缩三公经费</w:t>
      </w:r>
      <w:r>
        <w:rPr>
          <w:rFonts w:hint="eastAsia" w:eastAsia="仿宋_GB2312" w:cs="仿宋_GB2312"/>
          <w:color w:val="auto"/>
          <w:kern w:val="2"/>
          <w:sz w:val="32"/>
          <w:szCs w:val="32"/>
          <w:highlight w:val="none"/>
          <w:lang w:val="en-US" w:eastAsia="zh-CN" w:bidi="ar-SA"/>
        </w:rPr>
        <w:t>。</w:t>
      </w:r>
    </w:p>
    <w:p w14:paraId="2C457014">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Times New Roman" w:hAnsi="Times New Roman" w:eastAsia="仿宋_GB2312" w:cs="仿宋_GB2312"/>
          <w:color w:val="auto"/>
          <w:kern w:val="2"/>
          <w:sz w:val="32"/>
          <w:szCs w:val="32"/>
          <w:highlight w:val="none"/>
          <w:lang w:val="en-US" w:eastAsia="zh-CN" w:bidi="ar-SA"/>
        </w:rPr>
        <w:t>其中：</w:t>
      </w:r>
    </w:p>
    <w:p w14:paraId="1E93DCBD">
      <w:pPr>
        <w:spacing w:line="600" w:lineRule="exact"/>
        <w:ind w:firstLine="640"/>
        <w:rPr>
          <w:rFonts w:hint="eastAsia" w:ascii="仿宋" w:hAnsi="仿宋" w:eastAsia="仿宋"/>
          <w:sz w:val="32"/>
          <w:szCs w:val="32"/>
        </w:rPr>
      </w:pPr>
      <w:r>
        <w:rPr>
          <w:rFonts w:hint="eastAsia" w:ascii="仿宋" w:hAnsi="仿宋" w:eastAsia="仿宋"/>
          <w:sz w:val="32"/>
          <w:szCs w:val="32"/>
          <w:lang w:val="en-US" w:eastAsia="zh-CN"/>
        </w:rPr>
        <w:t>国内公务接待支出0.15万元，主要用于执行公</w:t>
      </w:r>
      <w:r>
        <w:rPr>
          <w:rFonts w:hint="eastAsia" w:ascii="仿宋" w:hAnsi="仿宋" w:eastAsia="仿宋"/>
          <w:sz w:val="32"/>
          <w:szCs w:val="32"/>
        </w:rPr>
        <w:t>务、开展业务活动开支的用餐费。国内公务接待</w:t>
      </w:r>
      <w:r>
        <w:rPr>
          <w:rFonts w:hint="eastAsia" w:ascii="仿宋" w:hAnsi="仿宋" w:eastAsia="仿宋"/>
          <w:sz w:val="32"/>
          <w:szCs w:val="32"/>
          <w:lang w:val="en-US" w:eastAsia="zh-CN"/>
        </w:rPr>
        <w:t>1</w:t>
      </w:r>
      <w:r>
        <w:rPr>
          <w:rFonts w:hint="eastAsia" w:ascii="仿宋" w:hAnsi="仿宋" w:eastAsia="仿宋"/>
          <w:sz w:val="32"/>
          <w:szCs w:val="32"/>
        </w:rPr>
        <w:t>批次，</w:t>
      </w:r>
      <w:r>
        <w:rPr>
          <w:rFonts w:hint="eastAsia" w:ascii="仿宋" w:hAnsi="仿宋" w:eastAsia="仿宋"/>
          <w:sz w:val="32"/>
          <w:szCs w:val="32"/>
          <w:lang w:val="en-US" w:eastAsia="zh-CN"/>
        </w:rPr>
        <w:t>7</w:t>
      </w:r>
      <w:r>
        <w:rPr>
          <w:rFonts w:hint="eastAsia" w:ascii="仿宋" w:hAnsi="仿宋" w:eastAsia="仿宋"/>
          <w:sz w:val="32"/>
          <w:szCs w:val="32"/>
        </w:rPr>
        <w:t>人次（不包括陪同人员），共计支出0.</w:t>
      </w:r>
      <w:r>
        <w:rPr>
          <w:rFonts w:hint="eastAsia" w:ascii="仿宋" w:hAnsi="仿宋" w:eastAsia="仿宋"/>
          <w:sz w:val="32"/>
          <w:szCs w:val="32"/>
          <w:lang w:val="en-US" w:eastAsia="zh-CN"/>
        </w:rPr>
        <w:t>15</w:t>
      </w:r>
      <w:r>
        <w:rPr>
          <w:rFonts w:hint="eastAsia" w:ascii="仿宋" w:hAnsi="仿宋" w:eastAsia="仿宋"/>
          <w:sz w:val="32"/>
          <w:szCs w:val="32"/>
        </w:rPr>
        <w:t>万元，具体内容包括：</w:t>
      </w:r>
    </w:p>
    <w:p w14:paraId="127B70A0">
      <w:pPr>
        <w:suppressAutoHyphens/>
        <w:spacing w:line="600" w:lineRule="exact"/>
        <w:ind w:firstLine="640"/>
        <w:rPr>
          <w:rFonts w:hint="eastAsia" w:ascii="Times New Roman" w:hAnsi="Times New Roman" w:eastAsia="仿宋_GB2312" w:cs="仿宋_GB2312"/>
          <w:color w:val="0000FF"/>
          <w:kern w:val="2"/>
          <w:sz w:val="32"/>
          <w:szCs w:val="32"/>
          <w:highlight w:val="none"/>
          <w:lang w:val="en-US" w:eastAsia="zh-CN" w:bidi="ar-SA"/>
        </w:rPr>
      </w:pPr>
      <w:r>
        <w:rPr>
          <w:rFonts w:hint="eastAsia" w:ascii="仿宋" w:hAnsi="仿宋" w:eastAsia="仿宋"/>
          <w:sz w:val="32"/>
          <w:szCs w:val="32"/>
          <w:lang w:val="en-US" w:eastAsia="zh-CN"/>
        </w:rPr>
        <w:t>1.接待禄劝县职业高级中学7人到凉山州农业学校交流学习。</w:t>
      </w:r>
    </w:p>
    <w:p w14:paraId="57B0680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 w:hAnsi="仿宋" w:eastAsia="仿宋"/>
          <w:sz w:val="32"/>
          <w:szCs w:val="32"/>
          <w:lang w:val="en-US" w:eastAsia="zh-CN"/>
        </w:rPr>
        <w:t>外事接待支出</w:t>
      </w:r>
      <w:r>
        <w:rPr>
          <w:rFonts w:hint="eastAsia" w:ascii="仿宋" w:hAnsi="仿宋" w:eastAsia="仿宋"/>
          <w:sz w:val="32"/>
          <w:szCs w:val="32"/>
        </w:rPr>
        <w:t>0</w:t>
      </w:r>
      <w:r>
        <w:rPr>
          <w:rFonts w:hint="eastAsia" w:ascii="仿宋" w:hAnsi="仿宋" w:eastAsia="仿宋"/>
          <w:sz w:val="32"/>
          <w:szCs w:val="32"/>
          <w:lang w:val="en-US" w:eastAsia="zh-CN"/>
        </w:rPr>
        <w:t>万元，外事接待</w:t>
      </w:r>
      <w:r>
        <w:rPr>
          <w:rFonts w:hint="eastAsia" w:ascii="仿宋" w:hAnsi="仿宋" w:eastAsia="仿宋"/>
          <w:sz w:val="32"/>
          <w:szCs w:val="32"/>
        </w:rPr>
        <w:t>0</w:t>
      </w:r>
      <w:r>
        <w:rPr>
          <w:rFonts w:hint="eastAsia" w:ascii="仿宋" w:hAnsi="仿宋" w:eastAsia="仿宋"/>
          <w:sz w:val="32"/>
          <w:szCs w:val="32"/>
          <w:lang w:val="en-US" w:eastAsia="zh-CN"/>
        </w:rPr>
        <w:t>批次，</w:t>
      </w:r>
      <w:r>
        <w:rPr>
          <w:rFonts w:hint="eastAsia" w:ascii="仿宋" w:hAnsi="仿宋" w:eastAsia="仿宋"/>
          <w:sz w:val="32"/>
          <w:szCs w:val="32"/>
        </w:rPr>
        <w:t>0</w:t>
      </w:r>
      <w:r>
        <w:rPr>
          <w:rFonts w:hint="eastAsia" w:ascii="仿宋" w:hAnsi="仿宋" w:eastAsia="仿宋"/>
          <w:sz w:val="32"/>
          <w:szCs w:val="32"/>
          <w:lang w:val="en-US" w:eastAsia="zh-CN"/>
        </w:rPr>
        <w:t>人次（不包括陪同人员），共计支出0万元。</w:t>
      </w:r>
      <w:bookmarkStart w:id="32" w:name="_Toc15377218"/>
      <w:bookmarkStart w:id="33" w:name="_Toc15396610"/>
    </w:p>
    <w:p w14:paraId="4438E428">
      <w:pPr>
        <w:spacing w:line="600" w:lineRule="exact"/>
        <w:ind w:firstLine="640" w:firstLineChars="0"/>
        <w:outlineLvl w:val="0"/>
        <w:rPr>
          <w:rStyle w:val="32"/>
          <w:rFonts w:ascii="Times New Roman" w:hAnsi="Times New Roman" w:eastAsia="黑体"/>
          <w:color w:val="auto"/>
          <w:highlight w:val="none"/>
        </w:rPr>
      </w:pPr>
      <w:r>
        <w:rPr>
          <w:rFonts w:hint="eastAsia" w:ascii="Times New Roman" w:hAnsi="Times New Roman" w:eastAsia="黑体"/>
          <w:color w:val="auto"/>
          <w:sz w:val="32"/>
          <w:szCs w:val="32"/>
          <w:highlight w:val="none"/>
        </w:rPr>
        <w:t>八、</w:t>
      </w:r>
      <w:r>
        <w:rPr>
          <w:rStyle w:val="32"/>
          <w:rFonts w:hint="eastAsia" w:ascii="Times New Roman" w:hAnsi="Times New Roman" w:eastAsia="黑体"/>
          <w:b w:val="0"/>
          <w:color w:val="auto"/>
          <w:highlight w:val="none"/>
        </w:rPr>
        <w:t>政府性基金预算支出决算情况说明</w:t>
      </w:r>
      <w:bookmarkEnd w:id="32"/>
      <w:bookmarkEnd w:id="33"/>
    </w:p>
    <w:p w14:paraId="66B413A0">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年度政府性基金预算财政拨款支出0.00万元。</w:t>
      </w:r>
    </w:p>
    <w:p w14:paraId="37DFF0A9">
      <w:pPr>
        <w:numPr>
          <w:ilvl w:val="0"/>
          <w:numId w:val="0"/>
        </w:numPr>
        <w:spacing w:line="600" w:lineRule="exact"/>
        <w:ind w:left="630" w:leftChars="0" w:firstLine="0" w:firstLineChars="0"/>
        <w:outlineLvl w:val="0"/>
        <w:rPr>
          <w:rStyle w:val="32"/>
          <w:rFonts w:ascii="Times New Roman" w:hAnsi="Times New Roman" w:eastAsia="黑体"/>
          <w:b w:val="0"/>
          <w:color w:val="auto"/>
          <w:highlight w:val="none"/>
        </w:rPr>
      </w:pPr>
      <w:bookmarkStart w:id="34" w:name="_Toc15377219"/>
      <w:bookmarkStart w:id="35" w:name="_Toc15396611"/>
      <w:r>
        <w:rPr>
          <w:rStyle w:val="32"/>
          <w:rFonts w:hint="eastAsia" w:ascii="Times New Roman" w:hAnsi="Times New Roman" w:eastAsia="黑体"/>
          <w:b w:val="0"/>
          <w:color w:val="auto"/>
          <w:highlight w:val="none"/>
          <w:lang w:eastAsia="zh-CN"/>
        </w:rPr>
        <w:t>九、</w:t>
      </w:r>
      <w:r>
        <w:rPr>
          <w:rStyle w:val="32"/>
          <w:rFonts w:hint="eastAsia" w:ascii="Times New Roman" w:hAnsi="Times New Roman" w:eastAsia="黑体"/>
          <w:b w:val="0"/>
          <w:color w:val="auto"/>
          <w:highlight w:val="none"/>
        </w:rPr>
        <w:t>国有资本经营预算支出决算情况说明</w:t>
      </w:r>
      <w:bookmarkEnd w:id="34"/>
      <w:bookmarkEnd w:id="35"/>
    </w:p>
    <w:p w14:paraId="35DB61F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年度国有资本经营预算财政拨款支出0.00万元。</w:t>
      </w:r>
    </w:p>
    <w:p w14:paraId="04D4FF71">
      <w:pPr>
        <w:numPr>
          <w:ilvl w:val="0"/>
          <w:numId w:val="0"/>
        </w:numPr>
        <w:spacing w:line="600" w:lineRule="exact"/>
        <w:ind w:left="630" w:leftChars="0" w:firstLine="0" w:firstLineChars="0"/>
        <w:outlineLvl w:val="0"/>
        <w:rPr>
          <w:rStyle w:val="32"/>
          <w:rFonts w:hint="eastAsia" w:ascii="Times New Roman" w:hAnsi="Times New Roman" w:eastAsia="黑体"/>
          <w:b w:val="0"/>
          <w:color w:val="auto"/>
          <w:highlight w:val="none"/>
        </w:rPr>
      </w:pPr>
      <w:bookmarkStart w:id="36" w:name="_Toc15396612"/>
      <w:bookmarkStart w:id="37" w:name="_Toc15377221"/>
      <w:r>
        <w:rPr>
          <w:rStyle w:val="32"/>
          <w:rFonts w:hint="eastAsia" w:ascii="Times New Roman" w:hAnsi="Times New Roman" w:eastAsia="黑体"/>
          <w:b w:val="0"/>
          <w:color w:val="auto"/>
          <w:highlight w:val="none"/>
          <w:lang w:eastAsia="zh-CN"/>
        </w:rPr>
        <w:t>十、</w:t>
      </w:r>
      <w:r>
        <w:rPr>
          <w:rStyle w:val="32"/>
          <w:rFonts w:hint="eastAsia" w:ascii="Times New Roman" w:hAnsi="Times New Roman" w:eastAsia="黑体"/>
          <w:b w:val="0"/>
          <w:color w:val="auto"/>
          <w:highlight w:val="none"/>
        </w:rPr>
        <w:t>其他重要事项的情况说明</w:t>
      </w:r>
      <w:bookmarkEnd w:id="36"/>
      <w:bookmarkEnd w:id="37"/>
    </w:p>
    <w:p w14:paraId="37D6545D">
      <w:pPr>
        <w:spacing w:line="600" w:lineRule="exact"/>
        <w:ind w:firstLine="643" w:firstLineChars="200"/>
        <w:outlineLvl w:val="1"/>
        <w:rPr>
          <w:rFonts w:hint="eastAsia" w:ascii="Times New Roman" w:hAnsi="Times New Roman" w:eastAsia="楷体_GB2312" w:cs="楷体_GB2312"/>
          <w:b/>
          <w:color w:val="auto"/>
          <w:sz w:val="32"/>
          <w:szCs w:val="32"/>
          <w:highlight w:val="none"/>
        </w:rPr>
      </w:pPr>
      <w:bookmarkStart w:id="38" w:name="_Toc15377222"/>
      <w:r>
        <w:rPr>
          <w:rFonts w:hint="eastAsia" w:ascii="Times New Roman" w:hAnsi="Times New Roman" w:eastAsia="楷体_GB2312" w:cs="楷体_GB2312"/>
          <w:b/>
          <w:color w:val="auto"/>
          <w:sz w:val="32"/>
          <w:szCs w:val="32"/>
          <w:highlight w:val="none"/>
        </w:rPr>
        <w:t>（一）机关运行经费支出情况</w:t>
      </w:r>
      <w:bookmarkEnd w:id="38"/>
    </w:p>
    <w:p w14:paraId="226E052F">
      <w:pPr>
        <w:spacing w:line="600" w:lineRule="exact"/>
        <w:ind w:firstLine="640" w:firstLineChars="20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eastAsia="仿宋_GB2312"/>
          <w:color w:val="000000"/>
          <w:sz w:val="32"/>
          <w:szCs w:val="32"/>
        </w:rPr>
        <w:t>202</w:t>
      </w:r>
      <w:r>
        <w:rPr>
          <w:rFonts w:hint="eastAsia" w:ascii="仿宋_GB2312" w:eastAsia="仿宋_GB2312"/>
          <w:color w:val="000000"/>
          <w:sz w:val="32"/>
          <w:szCs w:val="32"/>
          <w:lang w:val="en-US" w:eastAsia="zh-CN"/>
        </w:rPr>
        <w:t>4</w:t>
      </w:r>
      <w:r>
        <w:rPr>
          <w:rFonts w:hint="eastAsia" w:ascii="仿宋_GB2312" w:eastAsia="仿宋_GB2312"/>
          <w:color w:val="000000"/>
          <w:sz w:val="32"/>
          <w:szCs w:val="32"/>
        </w:rPr>
        <w:t>年度，机关运行</w:t>
      </w:r>
      <w:r>
        <w:rPr>
          <w:rFonts w:hint="eastAsia" w:ascii="仿宋_GB2312" w:eastAsia="仿宋_GB2312"/>
          <w:sz w:val="32"/>
          <w:szCs w:val="32"/>
        </w:rPr>
        <w:t>经费支出0.00万元。</w:t>
      </w:r>
    </w:p>
    <w:p w14:paraId="5C9F775B">
      <w:pPr>
        <w:spacing w:line="600" w:lineRule="exact"/>
        <w:ind w:firstLine="643" w:firstLineChars="200"/>
        <w:outlineLvl w:val="1"/>
        <w:rPr>
          <w:rFonts w:hint="eastAsia" w:ascii="Times New Roman" w:hAnsi="Times New Roman" w:eastAsia="楷体_GB2312" w:cs="楷体_GB2312"/>
          <w:b/>
          <w:color w:val="auto"/>
          <w:sz w:val="32"/>
          <w:szCs w:val="32"/>
          <w:highlight w:val="none"/>
        </w:rPr>
      </w:pPr>
      <w:bookmarkStart w:id="39" w:name="_Toc15377223"/>
      <w:r>
        <w:rPr>
          <w:rFonts w:hint="eastAsia" w:ascii="Times New Roman" w:hAnsi="Times New Roman" w:eastAsia="楷体_GB2312" w:cs="楷体_GB2312"/>
          <w:b/>
          <w:color w:val="auto"/>
          <w:sz w:val="32"/>
          <w:szCs w:val="32"/>
          <w:highlight w:val="none"/>
        </w:rPr>
        <w:t>（二）政府采购支出情况</w:t>
      </w:r>
      <w:bookmarkEnd w:id="39"/>
    </w:p>
    <w:p w14:paraId="6ACFACEF">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2024年度，</w:t>
      </w:r>
      <w:r>
        <w:rPr>
          <w:rFonts w:hint="eastAsia" w:ascii="仿宋_GB2312" w:hAnsi="仿宋_GB2312" w:eastAsia="仿宋_GB2312" w:cs="仿宋_GB2312"/>
          <w:sz w:val="32"/>
          <w:szCs w:val="32"/>
        </w:rPr>
        <w:t>凉山州农业学校</w:t>
      </w:r>
      <w:r>
        <w:rPr>
          <w:rFonts w:hint="eastAsia" w:ascii="仿宋_GB2312" w:hAnsi="仿宋_GB2312" w:eastAsia="仿宋_GB2312" w:cs="仿宋_GB2312"/>
          <w:color w:val="auto"/>
          <w:kern w:val="2"/>
          <w:sz w:val="32"/>
          <w:szCs w:val="32"/>
          <w:highlight w:val="none"/>
          <w:lang w:val="en-US" w:eastAsia="zh-CN" w:bidi="ar-SA"/>
        </w:rPr>
        <w:t>政府采购支出总额</w:t>
      </w:r>
      <w:r>
        <w:rPr>
          <w:rFonts w:hint="eastAsia" w:ascii="仿宋_GB2312" w:hAnsi="仿宋_GB2312" w:eastAsia="仿宋_GB2312" w:cs="仿宋_GB2312"/>
          <w:sz w:val="32"/>
          <w:szCs w:val="32"/>
        </w:rPr>
        <w:t>262.69</w:t>
      </w:r>
      <w:r>
        <w:rPr>
          <w:rFonts w:hint="eastAsia" w:ascii="仿宋_GB2312" w:hAnsi="仿宋_GB2312" w:eastAsia="仿宋_GB2312" w:cs="仿宋_GB2312"/>
          <w:color w:val="auto"/>
          <w:kern w:val="2"/>
          <w:sz w:val="32"/>
          <w:szCs w:val="32"/>
          <w:highlight w:val="none"/>
          <w:lang w:val="en-US" w:eastAsia="zh-CN" w:bidi="ar-SA"/>
        </w:rPr>
        <w:t>万元，其中：政府采购货物支出</w:t>
      </w:r>
      <w:r>
        <w:rPr>
          <w:rFonts w:hint="eastAsia" w:ascii="仿宋_GB2312" w:hAnsi="仿宋_GB2312" w:eastAsia="仿宋_GB2312" w:cs="仿宋_GB2312"/>
          <w:sz w:val="32"/>
          <w:szCs w:val="32"/>
        </w:rPr>
        <w:t>24.7</w:t>
      </w:r>
      <w:r>
        <w:rPr>
          <w:rFonts w:hint="eastAsia" w:ascii="仿宋_GB2312" w:hAnsi="仿宋_GB2312" w:eastAsia="仿宋_GB2312" w:cs="仿宋_GB2312"/>
          <w:color w:val="auto"/>
          <w:kern w:val="2"/>
          <w:sz w:val="32"/>
          <w:szCs w:val="32"/>
          <w:highlight w:val="none"/>
          <w:lang w:val="en-US" w:eastAsia="zh-CN" w:bidi="ar-SA"/>
        </w:rPr>
        <w:t>万元、政府采购工程支出</w:t>
      </w:r>
      <w:r>
        <w:rPr>
          <w:rFonts w:hint="eastAsia" w:ascii="仿宋_GB2312" w:hAnsi="仿宋_GB2312" w:eastAsia="仿宋_GB2312" w:cs="仿宋_GB2312"/>
          <w:sz w:val="32"/>
          <w:szCs w:val="32"/>
        </w:rPr>
        <w:t>77.23</w:t>
      </w:r>
      <w:r>
        <w:rPr>
          <w:rFonts w:hint="eastAsia" w:ascii="仿宋_GB2312" w:hAnsi="仿宋_GB2312" w:eastAsia="仿宋_GB2312" w:cs="仿宋_GB2312"/>
          <w:color w:val="auto"/>
          <w:kern w:val="2"/>
          <w:sz w:val="32"/>
          <w:szCs w:val="32"/>
          <w:highlight w:val="none"/>
          <w:lang w:val="en-US" w:eastAsia="zh-CN" w:bidi="ar-SA"/>
        </w:rPr>
        <w:t>万元、政府采购服务支出</w:t>
      </w:r>
      <w:r>
        <w:rPr>
          <w:rFonts w:hint="eastAsia" w:ascii="仿宋_GB2312" w:hAnsi="仿宋_GB2312" w:eastAsia="仿宋_GB2312" w:cs="仿宋_GB2312"/>
          <w:sz w:val="32"/>
          <w:szCs w:val="32"/>
        </w:rPr>
        <w:t>160.76</w:t>
      </w:r>
      <w:r>
        <w:rPr>
          <w:rFonts w:hint="eastAsia" w:ascii="仿宋_GB2312" w:hAnsi="仿宋_GB2312" w:eastAsia="仿宋_GB2312" w:cs="仿宋_GB2312"/>
          <w:color w:val="auto"/>
          <w:kern w:val="2"/>
          <w:sz w:val="32"/>
          <w:szCs w:val="32"/>
          <w:highlight w:val="none"/>
          <w:lang w:val="en-US" w:eastAsia="zh-CN" w:bidi="ar-SA"/>
        </w:rPr>
        <w:t>万元。主要用于维修改造学生宿舍楼、教学成果培育指导服务、精品课程开发、</w:t>
      </w:r>
      <w:r>
        <w:rPr>
          <w:rFonts w:hint="eastAsia" w:ascii="仿宋" w:hAnsi="仿宋" w:eastAsia="仿宋"/>
          <w:sz w:val="32"/>
          <w:szCs w:val="32"/>
          <w:highlight w:val="none"/>
        </w:rPr>
        <w:t>公务车运行车辆加油、维修、保养费</w:t>
      </w:r>
      <w:r>
        <w:rPr>
          <w:rFonts w:hint="eastAsia" w:ascii="仿宋" w:hAnsi="仿宋" w:eastAsia="仿宋"/>
          <w:sz w:val="32"/>
          <w:szCs w:val="32"/>
          <w:highlight w:val="none"/>
          <w:lang w:val="en-US" w:eastAsia="zh-CN"/>
        </w:rPr>
        <w:t>等</w:t>
      </w:r>
      <w:r>
        <w:rPr>
          <w:rFonts w:hint="eastAsia" w:ascii="仿宋_GB2312" w:hAnsi="仿宋_GB2312" w:eastAsia="仿宋_GB2312" w:cs="仿宋_GB2312"/>
          <w:color w:val="auto"/>
          <w:kern w:val="2"/>
          <w:sz w:val="32"/>
          <w:szCs w:val="32"/>
          <w:highlight w:val="none"/>
          <w:lang w:val="en-US" w:eastAsia="zh-CN" w:bidi="ar-SA"/>
        </w:rPr>
        <w:t>。授予中小企业合同金额</w:t>
      </w:r>
      <w:r>
        <w:rPr>
          <w:rFonts w:hint="eastAsia" w:ascii="仿宋_GB2312" w:hAnsi="仿宋_GB2312" w:eastAsia="仿宋_GB2312" w:cs="仿宋_GB2312"/>
          <w:sz w:val="32"/>
          <w:szCs w:val="32"/>
        </w:rPr>
        <w:t>235.52</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sz w:val="32"/>
          <w:szCs w:val="32"/>
        </w:rPr>
        <w:t>89.65</w:t>
      </w:r>
      <w:r>
        <w:rPr>
          <w:rFonts w:hint="eastAsia" w:ascii="仿宋_GB2312" w:hAnsi="仿宋_GB2312" w:eastAsia="仿宋_GB2312" w:cs="仿宋_GB2312"/>
          <w:color w:val="auto"/>
          <w:kern w:val="2"/>
          <w:sz w:val="32"/>
          <w:szCs w:val="32"/>
          <w:highlight w:val="none"/>
          <w:lang w:val="en-US" w:eastAsia="zh-CN" w:bidi="ar-SA"/>
        </w:rPr>
        <w:t>%，其中：授予小微企业合同金额</w:t>
      </w:r>
      <w:r>
        <w:rPr>
          <w:rFonts w:hint="eastAsia" w:ascii="仿宋_GB2312" w:hAnsi="仿宋_GB2312" w:eastAsia="仿宋_GB2312" w:cs="仿宋_GB2312"/>
          <w:sz w:val="32"/>
          <w:szCs w:val="32"/>
        </w:rPr>
        <w:t>235.52</w:t>
      </w:r>
      <w:r>
        <w:rPr>
          <w:rFonts w:hint="eastAsia" w:ascii="仿宋_GB2312" w:hAnsi="仿宋_GB2312" w:eastAsia="仿宋_GB2312" w:cs="仿宋_GB2312"/>
          <w:color w:val="auto"/>
          <w:kern w:val="2"/>
          <w:sz w:val="32"/>
          <w:szCs w:val="32"/>
          <w:highlight w:val="none"/>
          <w:lang w:val="en-US" w:eastAsia="zh-CN" w:bidi="ar-SA"/>
        </w:rPr>
        <w:t>万元，占政府采购支出总额的</w:t>
      </w:r>
      <w:r>
        <w:rPr>
          <w:rFonts w:hint="eastAsia" w:ascii="仿宋_GB2312" w:hAnsi="仿宋_GB2312" w:eastAsia="仿宋_GB2312" w:cs="仿宋_GB2312"/>
          <w:sz w:val="32"/>
          <w:szCs w:val="32"/>
        </w:rPr>
        <w:t>89.65</w:t>
      </w:r>
      <w:r>
        <w:rPr>
          <w:rFonts w:hint="eastAsia" w:ascii="仿宋_GB2312" w:hAnsi="仿宋_GB2312" w:eastAsia="仿宋_GB2312" w:cs="仿宋_GB2312"/>
          <w:color w:val="auto"/>
          <w:kern w:val="2"/>
          <w:sz w:val="32"/>
          <w:szCs w:val="32"/>
          <w:highlight w:val="none"/>
          <w:lang w:val="en-US" w:eastAsia="zh-CN" w:bidi="ar-SA"/>
        </w:rPr>
        <w:t>%。</w:t>
      </w:r>
    </w:p>
    <w:p w14:paraId="179B684E">
      <w:pPr>
        <w:spacing w:line="600" w:lineRule="exact"/>
        <w:ind w:firstLine="643" w:firstLineChars="200"/>
        <w:outlineLvl w:val="1"/>
        <w:rPr>
          <w:rFonts w:hint="eastAsia" w:ascii="Times New Roman" w:hAnsi="Times New Roman" w:eastAsia="楷体_GB2312" w:cs="楷体_GB2312"/>
          <w:b/>
          <w:color w:val="auto"/>
          <w:sz w:val="32"/>
          <w:szCs w:val="32"/>
          <w:highlight w:val="none"/>
        </w:rPr>
      </w:pPr>
      <w:bookmarkStart w:id="40" w:name="_Toc15377224"/>
      <w:r>
        <w:rPr>
          <w:rFonts w:hint="eastAsia" w:ascii="Times New Roman" w:hAnsi="Times New Roman" w:eastAsia="楷体_GB2312" w:cs="楷体_GB2312"/>
          <w:b/>
          <w:color w:val="auto"/>
          <w:sz w:val="32"/>
          <w:szCs w:val="32"/>
          <w:highlight w:val="none"/>
        </w:rPr>
        <w:t>（三）国有资产占有使用情况</w:t>
      </w:r>
      <w:bookmarkEnd w:id="40"/>
    </w:p>
    <w:p w14:paraId="354F06CA">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 w:hAnsi="仿宋" w:eastAsia="仿宋"/>
          <w:sz w:val="32"/>
          <w:szCs w:val="32"/>
        </w:rPr>
        <w:t>截至202</w:t>
      </w:r>
      <w:r>
        <w:rPr>
          <w:rFonts w:hint="eastAsia" w:ascii="仿宋" w:hAnsi="仿宋" w:eastAsia="仿宋"/>
          <w:sz w:val="32"/>
          <w:szCs w:val="32"/>
          <w:lang w:val="en-US" w:eastAsia="zh-CN"/>
        </w:rPr>
        <w:t>4</w:t>
      </w:r>
      <w:r>
        <w:rPr>
          <w:rFonts w:hint="eastAsia" w:ascii="仿宋" w:hAnsi="仿宋" w:eastAsia="仿宋"/>
          <w:sz w:val="32"/>
          <w:szCs w:val="32"/>
        </w:rPr>
        <w:t>年</w:t>
      </w:r>
      <w:r>
        <w:rPr>
          <w:rFonts w:ascii="仿宋" w:hAnsi="仿宋" w:eastAsia="仿宋"/>
          <w:sz w:val="32"/>
          <w:szCs w:val="32"/>
        </w:rPr>
        <w:t>12</w:t>
      </w:r>
      <w:r>
        <w:rPr>
          <w:rFonts w:hint="eastAsia" w:ascii="仿宋" w:hAnsi="仿宋" w:eastAsia="仿宋"/>
          <w:sz w:val="32"/>
          <w:szCs w:val="32"/>
        </w:rPr>
        <w:t>月</w:t>
      </w:r>
      <w:r>
        <w:rPr>
          <w:rFonts w:ascii="仿宋" w:hAnsi="仿宋" w:eastAsia="仿宋"/>
          <w:sz w:val="32"/>
          <w:szCs w:val="32"/>
        </w:rPr>
        <w:t>31</w:t>
      </w:r>
      <w:r>
        <w:rPr>
          <w:rFonts w:hint="eastAsia" w:ascii="仿宋" w:hAnsi="仿宋" w:eastAsia="仿宋"/>
          <w:sz w:val="32"/>
          <w:szCs w:val="32"/>
        </w:rPr>
        <w:t>日，凉山州农业学校共有车辆2辆，其中：主要领导干部用车0辆、机要通信用车0辆、应急保障用车0辆、其他用车2辆，其他用车主要是用于学校教职工外出出差办事用车。单价</w:t>
      </w:r>
      <w:r>
        <w:rPr>
          <w:rFonts w:ascii="仿宋" w:hAnsi="仿宋" w:eastAsia="仿宋"/>
          <w:sz w:val="32"/>
          <w:szCs w:val="32"/>
        </w:rPr>
        <w:t>50</w:t>
      </w:r>
      <w:r>
        <w:rPr>
          <w:rFonts w:hint="eastAsia" w:ascii="仿宋" w:hAnsi="仿宋" w:eastAsia="仿宋"/>
          <w:sz w:val="32"/>
          <w:szCs w:val="32"/>
        </w:rPr>
        <w:t>万元以上通用设备0台，单价</w:t>
      </w:r>
      <w:r>
        <w:rPr>
          <w:rFonts w:ascii="仿宋" w:hAnsi="仿宋" w:eastAsia="仿宋"/>
          <w:sz w:val="32"/>
          <w:szCs w:val="32"/>
        </w:rPr>
        <w:t>100</w:t>
      </w:r>
      <w:r>
        <w:rPr>
          <w:rFonts w:hint="eastAsia" w:ascii="仿宋" w:hAnsi="仿宋" w:eastAsia="仿宋"/>
          <w:sz w:val="32"/>
          <w:szCs w:val="32"/>
        </w:rPr>
        <w:t>万元以上专用设备（不含车辆）0台。</w:t>
      </w:r>
    </w:p>
    <w:p w14:paraId="09F9B13C">
      <w:pPr>
        <w:spacing w:line="600" w:lineRule="exact"/>
        <w:ind w:firstLine="643" w:firstLineChars="200"/>
        <w:outlineLvl w:val="1"/>
        <w:rPr>
          <w:rFonts w:hint="eastAsia" w:ascii="Times New Roman" w:hAnsi="Times New Roman" w:eastAsia="楷体_GB2312" w:cs="楷体_GB2312"/>
          <w:b/>
          <w:color w:val="auto"/>
          <w:sz w:val="32"/>
          <w:szCs w:val="32"/>
          <w:highlight w:val="none"/>
        </w:rPr>
      </w:pPr>
      <w:r>
        <w:rPr>
          <w:rFonts w:hint="eastAsia" w:ascii="Times New Roman" w:hAnsi="Times New Roman" w:eastAsia="楷体_GB2312" w:cs="楷体_GB2312"/>
          <w:b/>
          <w:color w:val="auto"/>
          <w:sz w:val="32"/>
          <w:szCs w:val="32"/>
          <w:highlight w:val="none"/>
        </w:rPr>
        <w:t>（四）预算绩效管理情况</w:t>
      </w:r>
    </w:p>
    <w:p w14:paraId="5244CBC1">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r>
        <w:rPr>
          <w:rFonts w:hint="eastAsia" w:ascii="仿宋" w:hAnsi="仿宋" w:eastAsia="仿宋"/>
          <w:sz w:val="32"/>
          <w:szCs w:val="32"/>
        </w:rPr>
        <w:t>根据预算绩效管理要求，本单位在202</w:t>
      </w:r>
      <w:r>
        <w:rPr>
          <w:rFonts w:hint="eastAsia" w:ascii="仿宋" w:hAnsi="仿宋" w:eastAsia="仿宋"/>
          <w:sz w:val="32"/>
          <w:szCs w:val="32"/>
          <w:lang w:val="en-US" w:eastAsia="zh-CN"/>
        </w:rPr>
        <w:t>4</w:t>
      </w:r>
      <w:r>
        <w:rPr>
          <w:rFonts w:hint="eastAsia" w:ascii="仿宋" w:hAnsi="仿宋" w:eastAsia="仿宋"/>
          <w:sz w:val="32"/>
          <w:szCs w:val="32"/>
        </w:rPr>
        <w:t>年度预算编制阶段，组织对项目进行预算事前绩效评估，编制了绩效目标，预算执行过程中，选取5个项目开展绩效监控，组织对5个项目开展绩效自评。绩效自评表详见第四部分附件。</w:t>
      </w:r>
    </w:p>
    <w:p w14:paraId="5C62B7EE">
      <w:pPr>
        <w:widowControl/>
        <w:jc w:val="center"/>
        <w:outlineLvl w:val="0"/>
        <w:rPr>
          <w:rFonts w:hint="eastAsia" w:ascii="方正小标宋简体" w:hAnsi="宋体" w:eastAsia="方正小标宋简体"/>
          <w:sz w:val="44"/>
          <w:szCs w:val="44"/>
        </w:rPr>
      </w:pPr>
      <w:r>
        <w:rPr>
          <w:rFonts w:hint="eastAsia" w:ascii="方正小标宋简体" w:hAnsi="宋体" w:eastAsia="方正小标宋简体"/>
          <w:sz w:val="44"/>
          <w:szCs w:val="44"/>
        </w:rPr>
        <w:t>1、凉山州农业学校202</w:t>
      </w:r>
      <w:r>
        <w:rPr>
          <w:rFonts w:hint="eastAsia" w:ascii="方正小标宋简体" w:hAnsi="宋体" w:eastAsia="方正小标宋简体"/>
          <w:sz w:val="44"/>
          <w:szCs w:val="44"/>
          <w:lang w:val="en-US" w:eastAsia="zh-CN"/>
        </w:rPr>
        <w:t>4</w:t>
      </w:r>
      <w:r>
        <w:rPr>
          <w:rFonts w:hint="eastAsia" w:ascii="方正小标宋简体" w:hAnsi="宋体" w:eastAsia="方正小标宋简体"/>
          <w:sz w:val="44"/>
          <w:szCs w:val="44"/>
        </w:rPr>
        <w:t>年</w:t>
      </w:r>
    </w:p>
    <w:p w14:paraId="4FAC415A">
      <w:pPr>
        <w:widowControl/>
        <w:jc w:val="center"/>
        <w:outlineLvl w:val="0"/>
        <w:rPr>
          <w:rFonts w:hint="eastAsia" w:ascii="方正小标宋简体" w:hAnsi="宋体" w:eastAsia="方正小标宋简体"/>
          <w:sz w:val="44"/>
          <w:szCs w:val="44"/>
        </w:rPr>
      </w:pPr>
      <w:r>
        <w:rPr>
          <w:rFonts w:hint="eastAsia" w:ascii="方正小标宋简体" w:hAnsi="宋体" w:eastAsia="方正小标宋简体"/>
          <w:sz w:val="44"/>
          <w:szCs w:val="44"/>
        </w:rPr>
        <w:t>中职国家助学金项目支出绩效自评报告</w:t>
      </w:r>
    </w:p>
    <w:p w14:paraId="101E0192">
      <w:pPr>
        <w:bidi w:val="0"/>
        <w:spacing w:line="600" w:lineRule="exact"/>
        <w:ind w:firstLine="640" w:firstLineChars="200"/>
        <w:outlineLvl w:val="1"/>
        <w:rPr>
          <w:rFonts w:hint="eastAsia" w:ascii="仿宋" w:hAnsi="仿宋" w:eastAsia="仿宋" w:cs="Times New Roman"/>
          <w:color w:val="auto"/>
          <w:sz w:val="32"/>
          <w:szCs w:val="32"/>
          <w:highlight w:val="none"/>
          <w:lang w:eastAsia="zh-CN"/>
        </w:rPr>
      </w:pPr>
      <w:r>
        <w:rPr>
          <w:rFonts w:hint="eastAsia" w:ascii="仿宋" w:hAnsi="仿宋" w:eastAsia="仿宋" w:cs="Times New Roman"/>
          <w:color w:val="auto"/>
          <w:sz w:val="32"/>
          <w:szCs w:val="32"/>
          <w:highlight w:val="none"/>
          <w:lang w:eastAsia="zh-CN"/>
        </w:rPr>
        <w:t>一、项目概况</w:t>
      </w:r>
    </w:p>
    <w:p w14:paraId="3B509A79">
      <w:pPr>
        <w:bidi w:val="0"/>
        <w:spacing w:line="600" w:lineRule="exact"/>
        <w:ind w:firstLine="640" w:firstLineChars="200"/>
        <w:outlineLvl w:val="2"/>
        <w:rPr>
          <w:rFonts w:hint="eastAsia" w:ascii="仿宋" w:hAnsi="仿宋" w:eastAsia="仿宋" w:cs="Times New Roman"/>
          <w:color w:val="auto"/>
          <w:sz w:val="32"/>
          <w:szCs w:val="32"/>
          <w:highlight w:val="none"/>
          <w:lang w:eastAsia="zh-CN"/>
        </w:rPr>
      </w:pPr>
      <w:r>
        <w:rPr>
          <w:rFonts w:hint="eastAsia" w:ascii="仿宋" w:hAnsi="仿宋" w:eastAsia="仿宋" w:cs="Times New Roman"/>
          <w:color w:val="auto"/>
          <w:sz w:val="32"/>
          <w:szCs w:val="32"/>
          <w:highlight w:val="none"/>
          <w:lang w:eastAsia="zh-CN"/>
        </w:rPr>
        <w:t>（</w:t>
      </w:r>
      <w:r>
        <w:rPr>
          <w:rFonts w:hint="eastAsia" w:ascii="仿宋" w:hAnsi="仿宋" w:eastAsia="仿宋" w:cs="Times New Roman"/>
          <w:color w:val="auto"/>
          <w:sz w:val="32"/>
          <w:szCs w:val="32"/>
          <w:highlight w:val="none"/>
          <w:lang w:val="en-US" w:eastAsia="zh-CN"/>
        </w:rPr>
        <w:t>一</w:t>
      </w:r>
      <w:r>
        <w:rPr>
          <w:rFonts w:hint="eastAsia" w:ascii="仿宋" w:hAnsi="仿宋" w:eastAsia="仿宋" w:cs="Times New Roman"/>
          <w:color w:val="auto"/>
          <w:sz w:val="32"/>
          <w:szCs w:val="32"/>
          <w:highlight w:val="none"/>
          <w:lang w:eastAsia="zh-CN"/>
        </w:rPr>
        <w:t>）项目资金申报及批复情况。</w:t>
      </w:r>
    </w:p>
    <w:p w14:paraId="7B1AF5BB">
      <w:pPr>
        <w:bidi w:val="0"/>
        <w:spacing w:line="600" w:lineRule="exact"/>
        <w:ind w:firstLine="640" w:firstLineChars="200"/>
        <w:outlineLvl w:val="9"/>
        <w:rPr>
          <w:rFonts w:hint="eastAsia" w:ascii="仿宋" w:hAnsi="仿宋" w:eastAsia="仿宋" w:cs="Times New Roman"/>
          <w:color w:val="auto"/>
          <w:sz w:val="32"/>
          <w:szCs w:val="32"/>
          <w:highlight w:val="none"/>
          <w:lang w:eastAsia="zh-CN"/>
        </w:rPr>
      </w:pPr>
      <w:r>
        <w:rPr>
          <w:rFonts w:hint="eastAsia" w:ascii="仿宋" w:hAnsi="仿宋" w:eastAsia="仿宋" w:cs="Times New Roman"/>
          <w:color w:val="auto"/>
          <w:sz w:val="32"/>
          <w:szCs w:val="32"/>
          <w:highlight w:val="none"/>
          <w:lang w:eastAsia="zh-CN"/>
        </w:rPr>
        <w:t xml:space="preserve">  202</w:t>
      </w:r>
      <w:r>
        <w:rPr>
          <w:rFonts w:hint="eastAsia" w:ascii="仿宋" w:hAnsi="仿宋" w:eastAsia="仿宋" w:cs="Times New Roman"/>
          <w:color w:val="auto"/>
          <w:sz w:val="32"/>
          <w:szCs w:val="32"/>
          <w:highlight w:val="none"/>
          <w:lang w:val="en-US" w:eastAsia="zh-CN"/>
        </w:rPr>
        <w:t>4</w:t>
      </w:r>
      <w:r>
        <w:rPr>
          <w:rFonts w:hint="eastAsia" w:ascii="仿宋" w:hAnsi="仿宋" w:eastAsia="仿宋" w:cs="Times New Roman"/>
          <w:color w:val="auto"/>
          <w:sz w:val="32"/>
          <w:szCs w:val="32"/>
          <w:highlight w:val="none"/>
          <w:lang w:eastAsia="zh-CN"/>
        </w:rPr>
        <w:t>年凉山州农业学校中职国家助学金实际到位资金</w:t>
      </w:r>
      <w:r>
        <w:rPr>
          <w:rFonts w:hint="eastAsia" w:ascii="仿宋" w:hAnsi="仿宋" w:eastAsia="仿宋" w:cs="Times New Roman"/>
          <w:color w:val="auto"/>
          <w:sz w:val="32"/>
          <w:szCs w:val="32"/>
          <w:highlight w:val="none"/>
          <w:lang w:val="en-US" w:eastAsia="zh-CN"/>
        </w:rPr>
        <w:t>372.38</w:t>
      </w:r>
      <w:r>
        <w:rPr>
          <w:rFonts w:hint="eastAsia" w:ascii="仿宋" w:hAnsi="仿宋" w:eastAsia="仿宋" w:cs="Times New Roman"/>
          <w:color w:val="auto"/>
          <w:sz w:val="32"/>
          <w:szCs w:val="32"/>
          <w:highlight w:val="none"/>
          <w:lang w:eastAsia="zh-CN"/>
        </w:rPr>
        <w:t>万元，实际批复资金</w:t>
      </w:r>
      <w:r>
        <w:rPr>
          <w:rFonts w:hint="eastAsia" w:ascii="仿宋" w:hAnsi="仿宋" w:eastAsia="仿宋" w:cs="Times New Roman"/>
          <w:color w:val="auto"/>
          <w:sz w:val="32"/>
          <w:szCs w:val="32"/>
          <w:highlight w:val="none"/>
          <w:lang w:val="en-US" w:eastAsia="zh-CN"/>
        </w:rPr>
        <w:t>372.38</w:t>
      </w:r>
      <w:r>
        <w:rPr>
          <w:rFonts w:hint="eastAsia" w:ascii="仿宋" w:hAnsi="仿宋" w:eastAsia="仿宋" w:cs="Times New Roman"/>
          <w:color w:val="auto"/>
          <w:sz w:val="32"/>
          <w:szCs w:val="32"/>
          <w:highlight w:val="none"/>
          <w:lang w:eastAsia="zh-CN"/>
        </w:rPr>
        <w:t>万元。</w:t>
      </w:r>
    </w:p>
    <w:p w14:paraId="64EB965D">
      <w:pPr>
        <w:bidi w:val="0"/>
        <w:spacing w:line="600" w:lineRule="exact"/>
        <w:ind w:firstLine="640" w:firstLineChars="200"/>
        <w:outlineLvl w:val="2"/>
        <w:rPr>
          <w:rFonts w:hint="eastAsia" w:ascii="仿宋" w:hAnsi="仿宋" w:eastAsia="仿宋" w:cs="Times New Roman"/>
          <w:color w:val="auto"/>
          <w:sz w:val="32"/>
          <w:szCs w:val="32"/>
          <w:highlight w:val="none"/>
          <w:lang w:eastAsia="zh-CN"/>
        </w:rPr>
      </w:pPr>
      <w:r>
        <w:rPr>
          <w:rFonts w:hint="eastAsia" w:ascii="仿宋" w:hAnsi="仿宋" w:eastAsia="仿宋" w:cs="Times New Roman"/>
          <w:color w:val="auto"/>
          <w:sz w:val="32"/>
          <w:szCs w:val="32"/>
          <w:highlight w:val="none"/>
          <w:lang w:eastAsia="zh-CN"/>
        </w:rPr>
        <w:t>（二）项目绩效目标。</w:t>
      </w:r>
    </w:p>
    <w:p w14:paraId="78E4C1E4">
      <w:pPr>
        <w:bidi w:val="0"/>
        <w:spacing w:line="600" w:lineRule="exact"/>
        <w:ind w:firstLine="640" w:firstLineChars="200"/>
        <w:outlineLvl w:val="9"/>
        <w:rPr>
          <w:rFonts w:hint="default" w:ascii="仿宋" w:hAnsi="仿宋" w:eastAsia="仿宋" w:cs="Times New Roman"/>
          <w:color w:val="auto"/>
          <w:sz w:val="32"/>
          <w:szCs w:val="32"/>
          <w:highlight w:val="none"/>
          <w:lang w:val="en-US" w:eastAsia="zh-CN"/>
        </w:rPr>
      </w:pPr>
      <w:r>
        <w:rPr>
          <w:rFonts w:hint="eastAsia" w:ascii="仿宋" w:hAnsi="仿宋" w:eastAsia="仿宋" w:cs="Times New Roman"/>
          <w:color w:val="auto"/>
          <w:sz w:val="32"/>
          <w:szCs w:val="32"/>
          <w:highlight w:val="none"/>
          <w:lang w:eastAsia="zh-CN"/>
        </w:rPr>
        <w:t>202</w:t>
      </w:r>
      <w:r>
        <w:rPr>
          <w:rFonts w:hint="eastAsia" w:ascii="仿宋" w:hAnsi="仿宋" w:eastAsia="仿宋" w:cs="Times New Roman"/>
          <w:color w:val="auto"/>
          <w:sz w:val="32"/>
          <w:szCs w:val="32"/>
          <w:highlight w:val="none"/>
          <w:lang w:val="en-US" w:eastAsia="zh-CN"/>
        </w:rPr>
        <w:t>4</w:t>
      </w:r>
      <w:r>
        <w:rPr>
          <w:rFonts w:hint="eastAsia" w:ascii="仿宋" w:hAnsi="仿宋" w:eastAsia="仿宋" w:cs="Times New Roman"/>
          <w:color w:val="auto"/>
          <w:sz w:val="32"/>
          <w:szCs w:val="32"/>
          <w:highlight w:val="none"/>
          <w:lang w:eastAsia="zh-CN"/>
        </w:rPr>
        <w:t>年中职助学金发放资金</w:t>
      </w:r>
      <w:r>
        <w:rPr>
          <w:rFonts w:hint="eastAsia" w:ascii="仿宋" w:hAnsi="仿宋" w:eastAsia="仿宋" w:cs="Times New Roman"/>
          <w:color w:val="auto"/>
          <w:sz w:val="32"/>
          <w:szCs w:val="32"/>
          <w:highlight w:val="none"/>
          <w:lang w:val="en-US" w:eastAsia="zh-CN"/>
        </w:rPr>
        <w:t>372.38</w:t>
      </w:r>
      <w:r>
        <w:rPr>
          <w:rFonts w:hint="eastAsia" w:ascii="仿宋" w:hAnsi="仿宋" w:eastAsia="仿宋" w:cs="Times New Roman"/>
          <w:color w:val="auto"/>
          <w:sz w:val="32"/>
          <w:szCs w:val="32"/>
          <w:highlight w:val="none"/>
          <w:lang w:eastAsia="zh-CN"/>
        </w:rPr>
        <w:t>万元，预算执行率</w:t>
      </w:r>
      <w:r>
        <w:rPr>
          <w:rFonts w:hint="eastAsia" w:ascii="仿宋" w:hAnsi="仿宋" w:eastAsia="仿宋" w:cs="Times New Roman"/>
          <w:color w:val="auto"/>
          <w:sz w:val="32"/>
          <w:szCs w:val="32"/>
          <w:highlight w:val="none"/>
          <w:lang w:val="en-US" w:eastAsia="zh-CN"/>
        </w:rPr>
        <w:t>100</w:t>
      </w:r>
      <w:r>
        <w:rPr>
          <w:rFonts w:hint="eastAsia" w:ascii="仿宋" w:hAnsi="仿宋" w:eastAsia="仿宋" w:cs="Times New Roman"/>
          <w:color w:val="auto"/>
          <w:sz w:val="32"/>
          <w:szCs w:val="32"/>
          <w:highlight w:val="none"/>
          <w:lang w:eastAsia="zh-CN"/>
        </w:rPr>
        <w:t>%，项目实施后，解决了我校部分家庭经济困难学生读书难的问题。</w:t>
      </w:r>
    </w:p>
    <w:p w14:paraId="30A41D32">
      <w:pPr>
        <w:adjustRightInd w:val="0"/>
        <w:snapToGrid w:val="0"/>
        <w:spacing w:line="560" w:lineRule="exact"/>
        <w:ind w:firstLine="720" w:firstLineChars="0"/>
        <w:outlineLvl w:val="1"/>
        <w:rPr>
          <w:rFonts w:ascii="仿宋_GB2312" w:eastAsia="仿宋_GB2312"/>
          <w:sz w:val="32"/>
          <w:szCs w:val="32"/>
        </w:rPr>
      </w:pPr>
      <w:r>
        <w:rPr>
          <w:rFonts w:hint="eastAsia" w:ascii="仿宋_GB2312" w:eastAsia="仿宋_GB2312"/>
          <w:sz w:val="32"/>
          <w:szCs w:val="32"/>
        </w:rPr>
        <w:t>二、项目实施及管理情况</w:t>
      </w:r>
    </w:p>
    <w:p w14:paraId="5A42F89A">
      <w:pPr>
        <w:adjustRightInd w:val="0"/>
        <w:snapToGrid w:val="0"/>
        <w:spacing w:line="560" w:lineRule="exact"/>
        <w:ind w:firstLine="720" w:firstLineChars="0"/>
        <w:outlineLvl w:val="2"/>
        <w:rPr>
          <w:rFonts w:ascii="仿宋_GB2312" w:eastAsia="仿宋_GB2312"/>
          <w:sz w:val="32"/>
          <w:szCs w:val="32"/>
        </w:rPr>
      </w:pPr>
      <w:r>
        <w:rPr>
          <w:rFonts w:ascii="仿宋_GB2312" w:eastAsia="仿宋_GB2312"/>
          <w:sz w:val="32"/>
          <w:szCs w:val="32"/>
        </w:rPr>
        <w:tab/>
      </w:r>
      <w:r>
        <w:rPr>
          <w:rFonts w:hint="eastAsia" w:ascii="仿宋_GB2312" w:eastAsia="仿宋_GB2312"/>
          <w:sz w:val="32"/>
          <w:szCs w:val="32"/>
        </w:rPr>
        <w:t>（一）资金计划、到位及使用情况。</w:t>
      </w:r>
    </w:p>
    <w:p w14:paraId="256B873F">
      <w:pPr>
        <w:adjustRightInd w:val="0"/>
        <w:snapToGrid w:val="0"/>
        <w:spacing w:line="560" w:lineRule="exact"/>
        <w:ind w:firstLine="720" w:firstLineChars="0"/>
        <w:outlineLvl w:val="3"/>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．资金计划及到位。</w:t>
      </w:r>
    </w:p>
    <w:p w14:paraId="288C196F">
      <w:pPr>
        <w:bidi w:val="0"/>
        <w:spacing w:line="600" w:lineRule="exact"/>
        <w:ind w:firstLine="640" w:firstLineChars="200"/>
        <w:outlineLvl w:val="9"/>
        <w:rPr>
          <w:rFonts w:hint="eastAsia" w:ascii="仿宋" w:hAnsi="仿宋" w:eastAsia="仿宋" w:cs="Times New Roman"/>
          <w:color w:val="auto"/>
          <w:sz w:val="32"/>
          <w:szCs w:val="32"/>
          <w:highlight w:val="none"/>
          <w:lang w:eastAsia="zh-CN"/>
        </w:rPr>
      </w:pPr>
      <w:r>
        <w:rPr>
          <w:rFonts w:hint="eastAsia" w:ascii="仿宋" w:hAnsi="仿宋" w:eastAsia="仿宋" w:cs="Times New Roman"/>
          <w:color w:val="auto"/>
          <w:sz w:val="32"/>
          <w:szCs w:val="32"/>
          <w:highlight w:val="none"/>
          <w:lang w:eastAsia="zh-CN"/>
        </w:rPr>
        <w:t>202</w:t>
      </w:r>
      <w:r>
        <w:rPr>
          <w:rFonts w:hint="eastAsia" w:ascii="仿宋" w:hAnsi="仿宋" w:eastAsia="仿宋" w:cs="Times New Roman"/>
          <w:color w:val="auto"/>
          <w:sz w:val="32"/>
          <w:szCs w:val="32"/>
          <w:highlight w:val="none"/>
          <w:lang w:val="en-US" w:eastAsia="zh-CN"/>
        </w:rPr>
        <w:t>4</w:t>
      </w:r>
      <w:r>
        <w:rPr>
          <w:rFonts w:hint="eastAsia" w:ascii="仿宋" w:hAnsi="仿宋" w:eastAsia="仿宋" w:cs="Times New Roman"/>
          <w:color w:val="auto"/>
          <w:sz w:val="32"/>
          <w:szCs w:val="32"/>
          <w:highlight w:val="none"/>
          <w:lang w:eastAsia="zh-CN"/>
        </w:rPr>
        <w:t>年1月</w:t>
      </w:r>
      <w:r>
        <w:rPr>
          <w:rFonts w:hint="eastAsia" w:ascii="仿宋" w:hAnsi="仿宋" w:eastAsia="仿宋" w:cs="Times New Roman"/>
          <w:color w:val="auto"/>
          <w:sz w:val="32"/>
          <w:szCs w:val="32"/>
          <w:highlight w:val="none"/>
          <w:lang w:val="en-US" w:eastAsia="zh-CN"/>
        </w:rPr>
        <w:t>9</w:t>
      </w:r>
      <w:r>
        <w:rPr>
          <w:rFonts w:hint="eastAsia" w:ascii="仿宋" w:hAnsi="仿宋" w:eastAsia="仿宋" w:cs="Times New Roman"/>
          <w:color w:val="auto"/>
          <w:sz w:val="32"/>
          <w:szCs w:val="32"/>
          <w:highlight w:val="none"/>
          <w:lang w:eastAsia="zh-CN"/>
        </w:rPr>
        <w:t>日上年结转安排中职助学金87.58万元；202</w:t>
      </w:r>
      <w:r>
        <w:rPr>
          <w:rFonts w:hint="eastAsia" w:ascii="仿宋" w:hAnsi="仿宋" w:eastAsia="仿宋" w:cs="Times New Roman"/>
          <w:color w:val="auto"/>
          <w:sz w:val="32"/>
          <w:szCs w:val="32"/>
          <w:highlight w:val="none"/>
          <w:lang w:val="en-US" w:eastAsia="zh-CN"/>
        </w:rPr>
        <w:t>4</w:t>
      </w:r>
      <w:r>
        <w:rPr>
          <w:rFonts w:hint="eastAsia" w:ascii="仿宋" w:hAnsi="仿宋" w:eastAsia="仿宋" w:cs="Times New Roman"/>
          <w:color w:val="auto"/>
          <w:sz w:val="32"/>
          <w:szCs w:val="32"/>
          <w:highlight w:val="none"/>
          <w:lang w:eastAsia="zh-CN"/>
        </w:rPr>
        <w:t>年4月</w:t>
      </w:r>
      <w:r>
        <w:rPr>
          <w:rFonts w:hint="eastAsia" w:ascii="仿宋" w:hAnsi="仿宋" w:eastAsia="仿宋" w:cs="Times New Roman"/>
          <w:color w:val="auto"/>
          <w:sz w:val="32"/>
          <w:szCs w:val="32"/>
          <w:highlight w:val="none"/>
          <w:lang w:val="en-US" w:eastAsia="zh-CN"/>
        </w:rPr>
        <w:t>2</w:t>
      </w:r>
      <w:r>
        <w:rPr>
          <w:rFonts w:hint="eastAsia" w:ascii="仿宋" w:hAnsi="仿宋" w:eastAsia="仿宋" w:cs="Times New Roman"/>
          <w:color w:val="auto"/>
          <w:sz w:val="32"/>
          <w:szCs w:val="32"/>
          <w:highlight w:val="none"/>
          <w:lang w:eastAsia="zh-CN"/>
        </w:rPr>
        <w:t>6日根据凉财教〔2024〕24号、川财教〔2024〕6号，下达2024年部分学生资助补助经费预算253.58万元；202</w:t>
      </w:r>
      <w:r>
        <w:rPr>
          <w:rFonts w:hint="eastAsia" w:ascii="仿宋" w:hAnsi="仿宋" w:eastAsia="仿宋" w:cs="Times New Roman"/>
          <w:color w:val="auto"/>
          <w:sz w:val="32"/>
          <w:szCs w:val="32"/>
          <w:highlight w:val="none"/>
          <w:lang w:val="en-US" w:eastAsia="zh-CN"/>
        </w:rPr>
        <w:t>4</w:t>
      </w:r>
      <w:r>
        <w:rPr>
          <w:rFonts w:hint="eastAsia" w:ascii="仿宋" w:hAnsi="仿宋" w:eastAsia="仿宋" w:cs="Times New Roman"/>
          <w:color w:val="auto"/>
          <w:sz w:val="32"/>
          <w:szCs w:val="32"/>
          <w:highlight w:val="none"/>
          <w:lang w:eastAsia="zh-CN"/>
        </w:rPr>
        <w:t>年1</w:t>
      </w:r>
      <w:r>
        <w:rPr>
          <w:rFonts w:hint="eastAsia" w:ascii="仿宋" w:hAnsi="仿宋" w:eastAsia="仿宋" w:cs="Times New Roman"/>
          <w:color w:val="auto"/>
          <w:sz w:val="32"/>
          <w:szCs w:val="32"/>
          <w:highlight w:val="none"/>
          <w:lang w:val="en-US" w:eastAsia="zh-CN"/>
        </w:rPr>
        <w:t>0</w:t>
      </w:r>
      <w:r>
        <w:rPr>
          <w:rFonts w:hint="eastAsia" w:ascii="仿宋" w:hAnsi="仿宋" w:eastAsia="仿宋" w:cs="Times New Roman"/>
          <w:color w:val="auto"/>
          <w:sz w:val="32"/>
          <w:szCs w:val="32"/>
          <w:highlight w:val="none"/>
          <w:lang w:eastAsia="zh-CN"/>
        </w:rPr>
        <w:t>月</w:t>
      </w:r>
      <w:r>
        <w:rPr>
          <w:rFonts w:hint="eastAsia" w:ascii="仿宋" w:hAnsi="仿宋" w:eastAsia="仿宋" w:cs="Times New Roman"/>
          <w:color w:val="auto"/>
          <w:sz w:val="32"/>
          <w:szCs w:val="32"/>
          <w:highlight w:val="none"/>
          <w:lang w:val="en-US" w:eastAsia="zh-CN"/>
        </w:rPr>
        <w:t>9</w:t>
      </w:r>
      <w:r>
        <w:rPr>
          <w:rFonts w:hint="eastAsia" w:ascii="仿宋" w:hAnsi="仿宋" w:eastAsia="仿宋" w:cs="Times New Roman"/>
          <w:color w:val="auto"/>
          <w:sz w:val="32"/>
          <w:szCs w:val="32"/>
          <w:highlight w:val="none"/>
          <w:lang w:eastAsia="zh-CN"/>
        </w:rPr>
        <w:t>日据凉财教〔2024〕95号、川财教〔2024〕36号文下达2024年第二批学生资助补助经费预算（中职奖助学金）31.22</w:t>
      </w:r>
      <w:r>
        <w:rPr>
          <w:rFonts w:hint="eastAsia" w:ascii="仿宋" w:hAnsi="仿宋" w:eastAsia="仿宋" w:cs="Times New Roman"/>
          <w:color w:val="auto"/>
          <w:sz w:val="32"/>
          <w:szCs w:val="32"/>
          <w:highlight w:val="none"/>
          <w:lang w:val="en-US" w:eastAsia="zh-CN"/>
        </w:rPr>
        <w:t>万元</w:t>
      </w:r>
      <w:r>
        <w:rPr>
          <w:rFonts w:hint="eastAsia" w:ascii="仿宋" w:hAnsi="仿宋" w:eastAsia="仿宋" w:cs="Times New Roman"/>
          <w:color w:val="auto"/>
          <w:sz w:val="32"/>
          <w:szCs w:val="32"/>
          <w:highlight w:val="none"/>
          <w:lang w:eastAsia="zh-CN"/>
        </w:rPr>
        <w:t>；实际到位</w:t>
      </w:r>
      <w:r>
        <w:rPr>
          <w:rFonts w:hint="eastAsia" w:ascii="仿宋" w:hAnsi="仿宋" w:eastAsia="仿宋" w:cs="Times New Roman"/>
          <w:color w:val="auto"/>
          <w:sz w:val="32"/>
          <w:szCs w:val="32"/>
          <w:highlight w:val="none"/>
          <w:lang w:val="en-US" w:eastAsia="zh-CN"/>
        </w:rPr>
        <w:t>372.38</w:t>
      </w:r>
      <w:r>
        <w:rPr>
          <w:rFonts w:hint="eastAsia" w:ascii="仿宋" w:hAnsi="仿宋" w:eastAsia="仿宋" w:cs="Times New Roman"/>
          <w:color w:val="auto"/>
          <w:sz w:val="32"/>
          <w:szCs w:val="32"/>
          <w:highlight w:val="none"/>
          <w:lang w:eastAsia="zh-CN"/>
        </w:rPr>
        <w:t>万，资金到位率100%。</w:t>
      </w:r>
    </w:p>
    <w:p w14:paraId="27CE28D6">
      <w:pPr>
        <w:numPr>
          <w:ilvl w:val="0"/>
          <w:numId w:val="2"/>
        </w:numPr>
        <w:adjustRightInd w:val="0"/>
        <w:snapToGrid w:val="0"/>
        <w:spacing w:line="560" w:lineRule="exact"/>
        <w:ind w:firstLine="720" w:firstLineChars="0"/>
        <w:outlineLvl w:val="3"/>
        <w:rPr>
          <w:rFonts w:ascii="仿宋" w:hAnsi="仿宋" w:eastAsia="仿宋"/>
          <w:sz w:val="32"/>
          <w:szCs w:val="32"/>
        </w:rPr>
      </w:pPr>
      <w:r>
        <w:rPr>
          <w:rFonts w:hint="eastAsia" w:ascii="仿宋_GB2312" w:eastAsia="仿宋_GB2312"/>
          <w:sz w:val="32"/>
          <w:szCs w:val="32"/>
        </w:rPr>
        <w:t>资金使用。</w:t>
      </w:r>
    </w:p>
    <w:p w14:paraId="31B66786">
      <w:pPr>
        <w:bidi w:val="0"/>
        <w:spacing w:line="600" w:lineRule="exact"/>
        <w:ind w:firstLine="640" w:firstLineChars="200"/>
        <w:outlineLvl w:val="9"/>
        <w:rPr>
          <w:rFonts w:hint="eastAsia" w:ascii="仿宋" w:hAnsi="仿宋" w:eastAsia="仿宋" w:cs="Times New Roman"/>
          <w:color w:val="auto"/>
          <w:sz w:val="32"/>
          <w:szCs w:val="32"/>
          <w:highlight w:val="none"/>
          <w:lang w:eastAsia="zh-CN"/>
        </w:rPr>
      </w:pPr>
      <w:r>
        <w:rPr>
          <w:rFonts w:hint="eastAsia" w:ascii="仿宋" w:hAnsi="仿宋" w:eastAsia="仿宋" w:cs="Times New Roman"/>
          <w:color w:val="auto"/>
          <w:sz w:val="32"/>
          <w:szCs w:val="32"/>
          <w:highlight w:val="none"/>
          <w:lang w:eastAsia="zh-CN"/>
        </w:rPr>
        <w:t>通过2024年全年严格流程、正确分工、严格执行。凉山农校2024年中职国家助学金完成了3762人次助学金发放，做到了符合资助条件的学生应助尽助，预算绩效管理情况和支出责任履行情况良好，使符合条件就读各学段学生都按标准获得资助，总体而言我校中等职业家助学金政策落实到位，助学金的资金使用管理规范，监管力度大，无虚报、瞒报、漏报，截留、克扣、挤占、挪用、冒领等违规违纪违法行为，确保了国家惠民助学政策落实到位，对符合资助条件的学生做到了“应助尽助”。</w:t>
      </w:r>
    </w:p>
    <w:p w14:paraId="6C3FF755">
      <w:pPr>
        <w:pStyle w:val="2"/>
      </w:pPr>
    </w:p>
    <w:p w14:paraId="43BD0DB8">
      <w:pPr>
        <w:pStyle w:val="2"/>
        <w:rPr>
          <w:rFonts w:hint="eastAsia"/>
        </w:rPr>
      </w:pPr>
    </w:p>
    <w:p w14:paraId="72593EF4">
      <w:pPr>
        <w:pStyle w:val="4"/>
        <w:numPr>
          <w:ilvl w:val="0"/>
          <w:numId w:val="3"/>
        </w:numPr>
        <w:jc w:val="center"/>
        <w:outlineLvl w:val="0"/>
        <w:rPr>
          <w:rFonts w:hint="eastAsia"/>
          <w:sz w:val="44"/>
          <w:szCs w:val="44"/>
        </w:rPr>
      </w:pPr>
      <w:r>
        <w:rPr>
          <w:rFonts w:hint="eastAsia"/>
          <w:sz w:val="44"/>
          <w:szCs w:val="44"/>
        </w:rPr>
        <w:t>凉山州农业学校202</w:t>
      </w:r>
      <w:r>
        <w:rPr>
          <w:rFonts w:hint="eastAsia"/>
          <w:sz w:val="44"/>
          <w:szCs w:val="44"/>
          <w:lang w:val="en-US" w:eastAsia="zh-CN"/>
        </w:rPr>
        <w:t>4</w:t>
      </w:r>
      <w:r>
        <w:rPr>
          <w:rFonts w:hint="eastAsia"/>
          <w:sz w:val="44"/>
          <w:szCs w:val="44"/>
        </w:rPr>
        <w:t>年</w:t>
      </w:r>
    </w:p>
    <w:p w14:paraId="1C1AE2D7">
      <w:pPr>
        <w:pStyle w:val="4"/>
        <w:jc w:val="center"/>
        <w:outlineLvl w:val="9"/>
        <w:rPr>
          <w:rFonts w:ascii="方正小标宋简体" w:eastAsia="方正小标宋简体"/>
          <w:sz w:val="44"/>
          <w:szCs w:val="44"/>
        </w:rPr>
      </w:pPr>
      <w:r>
        <w:rPr>
          <w:rFonts w:hint="eastAsia"/>
          <w:sz w:val="44"/>
          <w:szCs w:val="44"/>
        </w:rPr>
        <w:t>基层农技人员提升机高素质农民培育项目支出绩效自评报告</w:t>
      </w:r>
    </w:p>
    <w:p w14:paraId="5BDB363B">
      <w:pPr>
        <w:numPr>
          <w:ilvl w:val="0"/>
          <w:numId w:val="4"/>
        </w:numPr>
        <w:adjustRightInd w:val="0"/>
        <w:snapToGrid w:val="0"/>
        <w:spacing w:line="560" w:lineRule="exact"/>
        <w:ind w:firstLine="720" w:firstLineChars="0"/>
        <w:outlineLvl w:val="1"/>
        <w:rPr>
          <w:rFonts w:ascii="仿宋_GB2312" w:eastAsia="仿宋_GB2312"/>
          <w:sz w:val="32"/>
          <w:szCs w:val="32"/>
        </w:rPr>
      </w:pPr>
      <w:bookmarkStart w:id="41" w:name="_Hlk178965413"/>
      <w:r>
        <w:rPr>
          <w:rFonts w:hint="eastAsia" w:ascii="仿宋_GB2312" w:eastAsia="仿宋_GB2312"/>
          <w:sz w:val="32"/>
          <w:szCs w:val="32"/>
        </w:rPr>
        <w:t>项目概况</w:t>
      </w:r>
    </w:p>
    <w:p w14:paraId="6A481928">
      <w:pPr>
        <w:ind w:firstLine="640" w:firstLineChars="200"/>
        <w:rPr>
          <w:rFonts w:ascii="仿宋" w:hAnsi="仿宋" w:eastAsia="仿宋"/>
          <w:sz w:val="32"/>
          <w:szCs w:val="32"/>
        </w:rPr>
      </w:pPr>
      <w:r>
        <w:rPr>
          <w:rFonts w:hint="eastAsia" w:ascii="仿宋" w:hAnsi="仿宋" w:eastAsia="仿宋"/>
          <w:sz w:val="32"/>
          <w:szCs w:val="32"/>
        </w:rPr>
        <w:t>凉山州农业学校作为目前省内唯一一家农业中职学校，是全国第二批国家级新型职业农民培育师范基地，为进一步提升基层农技人员综合能力，助力脱贫攻坚，按照四川省农业农村厅及凉山农业农村局的安排，我校每年都会承接省级、州级基层农技人员培训及其他市州的部分调训任务。</w:t>
      </w:r>
    </w:p>
    <w:p w14:paraId="0C0DB51C">
      <w:pPr>
        <w:numPr>
          <w:ilvl w:val="0"/>
          <w:numId w:val="5"/>
        </w:numPr>
        <w:adjustRightInd w:val="0"/>
        <w:snapToGrid w:val="0"/>
        <w:spacing w:line="560" w:lineRule="exact"/>
        <w:ind w:firstLine="720" w:firstLineChars="0"/>
        <w:outlineLvl w:val="2"/>
        <w:rPr>
          <w:rFonts w:ascii="仿宋_GB2312" w:eastAsia="仿宋_GB2312"/>
          <w:sz w:val="32"/>
          <w:szCs w:val="32"/>
        </w:rPr>
      </w:pPr>
      <w:r>
        <w:rPr>
          <w:rFonts w:hint="eastAsia" w:ascii="仿宋_GB2312" w:eastAsia="仿宋_GB2312"/>
          <w:sz w:val="32"/>
          <w:szCs w:val="32"/>
        </w:rPr>
        <w:t>项目资金申报及批复情况。</w:t>
      </w:r>
    </w:p>
    <w:p w14:paraId="71CEFC1D">
      <w:pPr>
        <w:ind w:firstLine="640"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年基层农技人员提升高素质农民培育项目实际到位资金375万元，实际批复数资金为375万元。</w:t>
      </w:r>
    </w:p>
    <w:p w14:paraId="0684BBC7">
      <w:pPr>
        <w:adjustRightInd w:val="0"/>
        <w:snapToGrid w:val="0"/>
        <w:spacing w:line="560" w:lineRule="exact"/>
        <w:ind w:firstLine="720" w:firstLineChars="0"/>
        <w:outlineLvl w:val="1"/>
        <w:rPr>
          <w:rFonts w:ascii="仿宋_GB2312" w:eastAsia="仿宋_GB2312"/>
          <w:sz w:val="32"/>
          <w:szCs w:val="32"/>
        </w:rPr>
      </w:pPr>
      <w:r>
        <w:rPr>
          <w:rFonts w:hint="eastAsia" w:ascii="仿宋_GB2312" w:eastAsia="仿宋_GB2312"/>
          <w:sz w:val="32"/>
          <w:szCs w:val="32"/>
          <w:lang w:val="en-US" w:eastAsia="zh-CN"/>
        </w:rPr>
        <w:t>二</w:t>
      </w:r>
      <w:r>
        <w:rPr>
          <w:rFonts w:hint="eastAsia" w:ascii="仿宋_GB2312" w:eastAsia="仿宋_GB2312"/>
          <w:sz w:val="32"/>
          <w:szCs w:val="32"/>
        </w:rPr>
        <w:t>、完成情况</w:t>
      </w:r>
    </w:p>
    <w:bookmarkEnd w:id="41"/>
    <w:p w14:paraId="6EAF5B77">
      <w:pPr>
        <w:pStyle w:val="2"/>
        <w:ind w:firstLine="640" w:firstLineChars="200"/>
        <w:rPr>
          <w:rFonts w:hint="default"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全年承担培训51期，参训人数5000余人。其中，州级基层农技人员知识更新培训共6期1267人、州级高素质农民培育共6期615人、县级高素质农民培育共1期76人、教育部语用司“语培计划”及四川省青壮年绣娘“普通话+职业技能”培训共3期144人、州专武干部业务培训1期165人、移民及移民千部培训1期45人、西昌片区年度军训教官培训1期85人西昌市2024年农村实用技术人才能力提升培训班1期35人、“甬· 凉促就业精培计划”焊工培训1期70人、凉山州基础教育教师培训4期500余人、州法警队培训2期350人州经信局2期350人、西昌市暑期教师培训2期500人、县中青年干部培训3期350人、县致富带头培训3期320人、四川凉山彝族民歌表演人才培训2期90人、医疗研讨会1期100人中等职业学校技能检测专家培训会1期80人等。完成省州农业农村局等部门下达的各项培训任务，提升基层农、林人员基础知识和技能。</w:t>
      </w:r>
    </w:p>
    <w:p w14:paraId="3597AB0B">
      <w:pPr>
        <w:adjustRightInd w:val="0"/>
        <w:snapToGrid w:val="0"/>
        <w:spacing w:line="560" w:lineRule="exact"/>
        <w:ind w:firstLine="720" w:firstLineChars="0"/>
        <w:outlineLvl w:val="1"/>
        <w:rPr>
          <w:rFonts w:hint="eastAsia" w:ascii="仿宋_GB2312" w:eastAsia="仿宋_GB2312"/>
          <w:sz w:val="32"/>
          <w:szCs w:val="32"/>
          <w:lang w:val="en-US" w:eastAsia="zh-CN"/>
        </w:rPr>
      </w:pPr>
      <w:r>
        <w:rPr>
          <w:rFonts w:hint="eastAsia" w:ascii="仿宋_GB2312" w:eastAsia="仿宋_GB2312"/>
          <w:sz w:val="32"/>
          <w:szCs w:val="32"/>
          <w:lang w:val="en-US" w:eastAsia="zh-CN"/>
        </w:rPr>
        <w:t>三、存在主要问题</w:t>
      </w:r>
    </w:p>
    <w:p w14:paraId="461B54DE">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部分培训内容与当地农业发展实际结合不够紧密，需进一步调整优化。资金使用效率有待进一步提高，需加强成本控制和预算管理。</w:t>
      </w:r>
    </w:p>
    <w:p w14:paraId="6561147A">
      <w:pPr>
        <w:adjustRightInd w:val="0"/>
        <w:snapToGrid w:val="0"/>
        <w:spacing w:line="560" w:lineRule="exact"/>
        <w:ind w:firstLine="720" w:firstLineChars="0"/>
        <w:outlineLvl w:val="1"/>
        <w:rPr>
          <w:rFonts w:hint="eastAsia" w:ascii="仿宋_GB2312" w:eastAsia="仿宋_GB2312"/>
          <w:sz w:val="32"/>
          <w:szCs w:val="32"/>
          <w:lang w:val="en-US" w:eastAsia="zh-CN"/>
        </w:rPr>
      </w:pPr>
      <w:r>
        <w:rPr>
          <w:rFonts w:hint="eastAsia" w:ascii="仿宋_GB2312" w:eastAsia="仿宋_GB2312"/>
          <w:sz w:val="32"/>
          <w:szCs w:val="32"/>
          <w:lang w:val="en-US" w:eastAsia="zh-CN"/>
        </w:rPr>
        <w:t>四、改进建议</w:t>
      </w:r>
    </w:p>
    <w:p w14:paraId="732AC380">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针对培训内容与实际需求</w:t>
      </w:r>
      <w:r>
        <w:rPr>
          <w:rFonts w:hint="eastAsia" w:ascii="仿宋_GB2312" w:hAnsi="仿宋_GB2312" w:eastAsia="仿宋_GB2312" w:cs="仿宋_GB2312"/>
          <w:sz w:val="32"/>
          <w:szCs w:val="32"/>
          <w:lang w:val="en-US" w:eastAsia="zh-CN"/>
        </w:rPr>
        <w:t>不完全吻合</w:t>
      </w:r>
      <w:r>
        <w:rPr>
          <w:rFonts w:hint="eastAsia" w:ascii="仿宋_GB2312" w:hAnsi="仿宋_GB2312" w:eastAsia="仿宋_GB2312" w:cs="仿宋_GB2312"/>
          <w:sz w:val="32"/>
          <w:szCs w:val="32"/>
          <w:lang w:eastAsia="zh-CN"/>
        </w:rPr>
        <w:t>的问题，建议加强与地方政府、农业企业的沟通协作，根据实际需求调整培训内容。</w:t>
      </w:r>
    </w:p>
    <w:p w14:paraId="444C758E">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针对资金使用效率不</w:t>
      </w:r>
      <w:r>
        <w:rPr>
          <w:rFonts w:hint="eastAsia" w:ascii="仿宋_GB2312" w:hAnsi="仿宋_GB2312" w:cs="仿宋_GB2312"/>
          <w:sz w:val="32"/>
          <w:szCs w:val="32"/>
          <w:lang w:val="en-US" w:eastAsia="zh-CN"/>
        </w:rPr>
        <w:t>够</w:t>
      </w:r>
      <w:r>
        <w:rPr>
          <w:rFonts w:hint="eastAsia" w:ascii="仿宋_GB2312" w:hAnsi="仿宋_GB2312" w:eastAsia="仿宋_GB2312" w:cs="仿宋_GB2312"/>
          <w:sz w:val="32"/>
          <w:szCs w:val="32"/>
          <w:lang w:eastAsia="zh-CN"/>
        </w:rPr>
        <w:t>高的问题，优化资金使用结构，提高资金使用效益。</w:t>
      </w:r>
    </w:p>
    <w:p w14:paraId="661C61A4">
      <w:pPr>
        <w:pStyle w:val="2"/>
        <w:rPr>
          <w:rFonts w:hint="eastAsia" w:ascii="仿宋_GB2312" w:eastAsia="仿宋_GB2312"/>
          <w:sz w:val="32"/>
          <w:szCs w:val="32"/>
        </w:rPr>
      </w:pPr>
    </w:p>
    <w:p w14:paraId="520DEE90">
      <w:pPr>
        <w:pStyle w:val="2"/>
        <w:rPr>
          <w:rFonts w:hint="eastAsia" w:ascii="仿宋_GB2312" w:eastAsia="仿宋_GB2312"/>
          <w:sz w:val="32"/>
          <w:szCs w:val="32"/>
        </w:rPr>
      </w:pPr>
    </w:p>
    <w:p w14:paraId="1836A418">
      <w:pPr>
        <w:pStyle w:val="4"/>
        <w:numPr>
          <w:ilvl w:val="0"/>
          <w:numId w:val="3"/>
        </w:numPr>
        <w:jc w:val="center"/>
        <w:outlineLvl w:val="0"/>
        <w:rPr>
          <w:rFonts w:hint="eastAsia"/>
          <w:sz w:val="44"/>
          <w:szCs w:val="44"/>
        </w:rPr>
      </w:pPr>
      <w:r>
        <w:rPr>
          <w:rFonts w:hint="eastAsia"/>
          <w:sz w:val="44"/>
          <w:szCs w:val="44"/>
        </w:rPr>
        <w:t>凉山州农业学校202</w:t>
      </w:r>
      <w:r>
        <w:rPr>
          <w:rFonts w:hint="eastAsia"/>
          <w:sz w:val="44"/>
          <w:szCs w:val="44"/>
          <w:lang w:val="en-US" w:eastAsia="zh-CN"/>
        </w:rPr>
        <w:t>4</w:t>
      </w:r>
      <w:r>
        <w:rPr>
          <w:rFonts w:hint="eastAsia"/>
          <w:sz w:val="44"/>
          <w:szCs w:val="44"/>
        </w:rPr>
        <w:t>年</w:t>
      </w:r>
    </w:p>
    <w:p w14:paraId="2769C42E">
      <w:pPr>
        <w:pStyle w:val="4"/>
        <w:jc w:val="center"/>
        <w:rPr>
          <w:rFonts w:ascii="方正小标宋简体" w:eastAsia="方正小标宋简体"/>
          <w:sz w:val="44"/>
          <w:szCs w:val="44"/>
        </w:rPr>
      </w:pPr>
      <w:r>
        <w:rPr>
          <w:rFonts w:hint="eastAsia"/>
          <w:sz w:val="44"/>
          <w:szCs w:val="44"/>
        </w:rPr>
        <w:t>中职免学费项目支出绩效自评报告</w:t>
      </w:r>
    </w:p>
    <w:p w14:paraId="56AE23C6">
      <w:pPr>
        <w:numPr>
          <w:ilvl w:val="0"/>
          <w:numId w:val="6"/>
        </w:numPr>
        <w:adjustRightInd w:val="0"/>
        <w:snapToGrid w:val="0"/>
        <w:spacing w:line="560" w:lineRule="exact"/>
        <w:ind w:left="1440" w:leftChars="0" w:hanging="720" w:firstLineChars="0"/>
        <w:outlineLvl w:val="1"/>
        <w:rPr>
          <w:rFonts w:ascii="仿宋_GB2312" w:eastAsia="仿宋_GB2312"/>
          <w:sz w:val="32"/>
          <w:szCs w:val="32"/>
        </w:rPr>
      </w:pPr>
      <w:r>
        <w:rPr>
          <w:rFonts w:hint="eastAsia" w:ascii="仿宋_GB2312" w:eastAsia="仿宋_GB2312"/>
          <w:sz w:val="32"/>
          <w:szCs w:val="32"/>
        </w:rPr>
        <w:t>项目概况</w:t>
      </w:r>
    </w:p>
    <w:p w14:paraId="492740A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rPr>
      </w:pPr>
      <w:r>
        <w:rPr>
          <w:rFonts w:hint="eastAsia" w:ascii="仿宋" w:hAnsi="仿宋" w:eastAsia="仿宋" w:cs="仿宋_GB2312"/>
          <w:sz w:val="32"/>
          <w:szCs w:val="32"/>
        </w:rPr>
        <w:t>中职免学费项目，用于开支我校各项日常公用经费，水电费、邮电费、维修费等，通过项目实施，保障学校正常运行，促进中职教育健康发展，满足职业学校基本教育教学经费需要。</w:t>
      </w:r>
    </w:p>
    <w:p w14:paraId="39235CD2">
      <w:pPr>
        <w:adjustRightInd w:val="0"/>
        <w:snapToGrid w:val="0"/>
        <w:spacing w:line="560" w:lineRule="exact"/>
        <w:ind w:firstLine="640" w:firstLineChars="200"/>
        <w:outlineLvl w:val="1"/>
        <w:rPr>
          <w:rFonts w:ascii="仿宋_GB2312" w:eastAsia="仿宋_GB2312"/>
          <w:sz w:val="32"/>
          <w:szCs w:val="32"/>
        </w:rPr>
      </w:pPr>
      <w:r>
        <w:rPr>
          <w:rFonts w:hint="eastAsia" w:ascii="仿宋_GB2312" w:eastAsia="仿宋_GB2312"/>
          <w:sz w:val="32"/>
          <w:szCs w:val="32"/>
        </w:rPr>
        <w:t>二、项目资金申报及批复情况。</w:t>
      </w:r>
    </w:p>
    <w:p w14:paraId="4D01AF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 w:hAnsi="仿宋" w:eastAsia="仿宋" w:cs="仿宋_GB2312"/>
          <w:sz w:val="32"/>
          <w:szCs w:val="32"/>
        </w:rPr>
      </w:pPr>
      <w:r>
        <w:rPr>
          <w:rFonts w:hint="eastAsia" w:ascii="仿宋" w:hAnsi="仿宋" w:eastAsia="仿宋" w:cs="仿宋_GB2312"/>
          <w:sz w:val="32"/>
          <w:szCs w:val="32"/>
        </w:rPr>
        <w:t>202</w:t>
      </w:r>
      <w:r>
        <w:rPr>
          <w:rFonts w:hint="eastAsia" w:ascii="仿宋" w:hAnsi="仿宋" w:eastAsia="仿宋" w:cs="仿宋_GB2312"/>
          <w:sz w:val="32"/>
          <w:szCs w:val="32"/>
          <w:lang w:val="en-US" w:eastAsia="zh-CN"/>
        </w:rPr>
        <w:t>4</w:t>
      </w:r>
      <w:r>
        <w:rPr>
          <w:rFonts w:hint="eastAsia" w:ascii="仿宋" w:hAnsi="仿宋" w:eastAsia="仿宋" w:cs="仿宋_GB2312"/>
          <w:sz w:val="32"/>
          <w:szCs w:val="32"/>
        </w:rPr>
        <w:t>年中职免学费项目实际到位资金</w:t>
      </w:r>
      <w:r>
        <w:rPr>
          <w:rFonts w:hint="eastAsia" w:ascii="仿宋" w:hAnsi="仿宋" w:eastAsia="仿宋" w:cs="仿宋_GB2312"/>
          <w:sz w:val="32"/>
          <w:szCs w:val="32"/>
          <w:lang w:val="en-US" w:eastAsia="zh-CN"/>
        </w:rPr>
        <w:t>599.97</w:t>
      </w:r>
      <w:r>
        <w:rPr>
          <w:rFonts w:hint="eastAsia" w:ascii="仿宋" w:hAnsi="仿宋" w:eastAsia="仿宋" w:cs="仿宋_GB2312"/>
          <w:sz w:val="32"/>
          <w:szCs w:val="32"/>
        </w:rPr>
        <w:t>万元，实际批复数资金为</w:t>
      </w:r>
      <w:r>
        <w:rPr>
          <w:rFonts w:hint="eastAsia" w:ascii="仿宋" w:hAnsi="仿宋" w:eastAsia="仿宋" w:cs="仿宋_GB2312"/>
          <w:sz w:val="32"/>
          <w:szCs w:val="32"/>
          <w:lang w:val="en-US" w:eastAsia="zh-CN"/>
        </w:rPr>
        <w:t>599.97</w:t>
      </w:r>
      <w:r>
        <w:rPr>
          <w:rFonts w:hint="eastAsia" w:ascii="仿宋" w:hAnsi="仿宋" w:eastAsia="仿宋" w:cs="仿宋_GB2312"/>
          <w:sz w:val="32"/>
          <w:szCs w:val="32"/>
        </w:rPr>
        <w:t>万元。</w:t>
      </w:r>
    </w:p>
    <w:p w14:paraId="2A38D893">
      <w:pPr>
        <w:adjustRightInd w:val="0"/>
        <w:snapToGrid w:val="0"/>
        <w:spacing w:line="560" w:lineRule="exact"/>
        <w:ind w:firstLine="720" w:firstLineChars="0"/>
        <w:outlineLvl w:val="1"/>
        <w:rPr>
          <w:rFonts w:ascii="仿宋_GB2312" w:eastAsia="仿宋_GB2312"/>
          <w:sz w:val="32"/>
          <w:szCs w:val="32"/>
        </w:rPr>
      </w:pPr>
      <w:r>
        <w:rPr>
          <w:rFonts w:hint="eastAsia" w:ascii="仿宋_GB2312" w:eastAsia="仿宋_GB2312"/>
          <w:sz w:val="32"/>
          <w:szCs w:val="32"/>
          <w:lang w:val="en-US" w:eastAsia="zh-CN"/>
        </w:rPr>
        <w:t>三</w:t>
      </w:r>
      <w:r>
        <w:rPr>
          <w:rFonts w:hint="eastAsia" w:ascii="仿宋_GB2312" w:eastAsia="仿宋_GB2312"/>
          <w:sz w:val="32"/>
          <w:szCs w:val="32"/>
        </w:rPr>
        <w:t>、资金使用及完成情况</w:t>
      </w:r>
    </w:p>
    <w:p w14:paraId="4C4DF11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 w:hAnsi="仿宋" w:eastAsia="仿宋" w:cs="仿宋_GB2312"/>
          <w:sz w:val="32"/>
          <w:szCs w:val="32"/>
        </w:rPr>
        <w:t>项目全年预算数</w:t>
      </w:r>
      <w:r>
        <w:rPr>
          <w:rFonts w:hint="eastAsia" w:ascii="仿宋" w:hAnsi="仿宋" w:eastAsia="仿宋" w:cs="仿宋_GB2312"/>
          <w:sz w:val="32"/>
          <w:szCs w:val="32"/>
          <w:lang w:val="en-US" w:eastAsia="zh-CN"/>
        </w:rPr>
        <w:t>599.97</w:t>
      </w:r>
      <w:r>
        <w:rPr>
          <w:rFonts w:hint="eastAsia" w:ascii="仿宋" w:hAnsi="仿宋" w:eastAsia="仿宋" w:cs="仿宋_GB2312"/>
          <w:sz w:val="32"/>
          <w:szCs w:val="32"/>
        </w:rPr>
        <w:t>万元，执行数为</w:t>
      </w:r>
      <w:r>
        <w:rPr>
          <w:rFonts w:hint="eastAsia" w:ascii="仿宋" w:hAnsi="仿宋" w:eastAsia="仿宋" w:cs="仿宋_GB2312"/>
          <w:sz w:val="32"/>
          <w:szCs w:val="32"/>
          <w:lang w:val="en-US" w:eastAsia="zh-CN"/>
        </w:rPr>
        <w:t>599.97</w:t>
      </w:r>
      <w:r>
        <w:rPr>
          <w:rFonts w:hint="eastAsia" w:ascii="仿宋" w:hAnsi="仿宋" w:eastAsia="仿宋" w:cs="仿宋_GB2312"/>
          <w:sz w:val="32"/>
          <w:szCs w:val="32"/>
        </w:rPr>
        <w:t>万元，完成预算的</w:t>
      </w:r>
      <w:r>
        <w:rPr>
          <w:rFonts w:hint="eastAsia" w:ascii="仿宋" w:hAnsi="仿宋" w:eastAsia="仿宋" w:cs="仿宋_GB2312"/>
          <w:sz w:val="32"/>
          <w:szCs w:val="32"/>
          <w:lang w:val="en-US" w:eastAsia="zh-CN"/>
        </w:rPr>
        <w:t>100</w:t>
      </w:r>
      <w:r>
        <w:rPr>
          <w:rFonts w:hint="eastAsia" w:ascii="仿宋" w:hAnsi="仿宋" w:eastAsia="仿宋" w:cs="仿宋_GB2312"/>
          <w:sz w:val="32"/>
          <w:szCs w:val="32"/>
        </w:rPr>
        <w:t>%。维持学校日常运转，开支我校各项日常公用经费，邮电费、维修费</w:t>
      </w:r>
      <w:r>
        <w:rPr>
          <w:rFonts w:hint="eastAsia" w:ascii="仿宋" w:hAnsi="仿宋" w:eastAsia="仿宋" w:cs="仿宋_GB2312"/>
          <w:sz w:val="32"/>
          <w:szCs w:val="32"/>
          <w:lang w:val="en-US" w:eastAsia="zh-CN"/>
        </w:rPr>
        <w:t>等</w:t>
      </w:r>
      <w:r>
        <w:rPr>
          <w:rFonts w:hint="eastAsia" w:ascii="仿宋" w:hAnsi="仿宋" w:eastAsia="仿宋" w:cs="仿宋_GB2312"/>
          <w:sz w:val="32"/>
          <w:szCs w:val="32"/>
          <w:lang w:eastAsia="zh-CN"/>
        </w:rPr>
        <w:t>，</w:t>
      </w:r>
      <w:r>
        <w:rPr>
          <w:rFonts w:hint="eastAsia" w:ascii="仿宋" w:hAnsi="仿宋" w:eastAsia="仿宋" w:cs="仿宋_GB2312"/>
          <w:sz w:val="32"/>
          <w:szCs w:val="32"/>
        </w:rPr>
        <w:t>保障学校正常运行，提升</w:t>
      </w:r>
      <w:r>
        <w:rPr>
          <w:rFonts w:hint="eastAsia" w:ascii="仿宋" w:hAnsi="仿宋" w:eastAsia="仿宋" w:cs="仿宋_GB2312"/>
          <w:sz w:val="32"/>
          <w:szCs w:val="32"/>
          <w:lang w:val="en-US" w:eastAsia="zh-CN"/>
        </w:rPr>
        <w:t>学校</w:t>
      </w:r>
      <w:r>
        <w:rPr>
          <w:rFonts w:hint="eastAsia" w:ascii="仿宋" w:hAnsi="仿宋" w:eastAsia="仿宋" w:cs="仿宋_GB2312"/>
          <w:sz w:val="32"/>
          <w:szCs w:val="32"/>
        </w:rPr>
        <w:t>教学质量。</w:t>
      </w:r>
      <w:r>
        <w:rPr>
          <w:rFonts w:hint="eastAsia" w:ascii="仿宋_GB2312" w:hAnsi="仿宋_GB2312" w:eastAsia="仿宋_GB2312" w:cs="仿宋_GB2312"/>
          <w:b w:val="0"/>
          <w:bCs w:val="0"/>
          <w:kern w:val="2"/>
          <w:sz w:val="32"/>
          <w:szCs w:val="32"/>
          <w:lang w:val="en-US" w:eastAsia="zh-CN" w:bidi="ar-SA"/>
        </w:rPr>
        <w:t>2024年在校学生人数2912 人，保障学生能学到知识并为社会做贡献，维持学校日常运转，生均成本控制在2000元。</w:t>
      </w:r>
    </w:p>
    <w:p w14:paraId="2838EB92">
      <w:pPr>
        <w:keepNext w:val="0"/>
        <w:keepLines w:val="0"/>
        <w:pageBreakBefore w:val="0"/>
        <w:widowControl/>
        <w:numPr>
          <w:ilvl w:val="0"/>
          <w:numId w:val="0"/>
        </w:numPr>
        <w:suppressLineNumbers w:val="0"/>
        <w:shd w:val="clear" w:fill="FFFFFF"/>
        <w:kinsoku/>
        <w:wordWrap/>
        <w:overflowPunct/>
        <w:topLinePunct w:val="0"/>
        <w:autoSpaceDE/>
        <w:autoSpaceDN/>
        <w:bidi w:val="0"/>
        <w:spacing w:line="240" w:lineRule="auto"/>
        <w:ind w:left="420" w:leftChars="200" w:firstLine="0" w:firstLineChars="0"/>
        <w:jc w:val="left"/>
        <w:textAlignment w:val="auto"/>
        <w:outlineLvl w:val="1"/>
        <w:rPr>
          <w:rFonts w:hint="eastAsia" w:ascii="仿宋_GB2312" w:eastAsia="仿宋_GB2312"/>
          <w:sz w:val="32"/>
          <w:szCs w:val="32"/>
          <w:lang w:val="zh-CN" w:eastAsia="zh-CN"/>
        </w:rPr>
      </w:pPr>
      <w:r>
        <w:rPr>
          <w:rFonts w:hint="eastAsia" w:ascii="仿宋_GB2312" w:eastAsia="仿宋_GB2312"/>
          <w:sz w:val="32"/>
          <w:szCs w:val="32"/>
          <w:lang w:val="en-US" w:eastAsia="zh-CN"/>
        </w:rPr>
        <w:t>四、</w:t>
      </w:r>
      <w:r>
        <w:rPr>
          <w:rFonts w:hint="default" w:ascii="仿宋_GB2312" w:eastAsia="仿宋_GB2312"/>
          <w:sz w:val="32"/>
          <w:szCs w:val="32"/>
          <w:lang w:val="zh-CN" w:eastAsia="zh-CN"/>
        </w:rPr>
        <w:t>改进建议</w:t>
      </w:r>
      <w:r>
        <w:rPr>
          <w:rFonts w:hint="eastAsia" w:ascii="仿宋_GB2312" w:eastAsia="仿宋_GB2312"/>
          <w:sz w:val="32"/>
          <w:szCs w:val="32"/>
          <w:lang w:val="zh-CN" w:eastAsia="zh-CN"/>
        </w:rPr>
        <w:t>。</w:t>
      </w:r>
    </w:p>
    <w:p w14:paraId="4BB10F43">
      <w:pPr>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line="240" w:lineRule="auto"/>
        <w:ind w:firstLine="640" w:firstLineChars="200"/>
        <w:jc w:val="left"/>
        <w:textAlignment w:val="auto"/>
        <w:rPr>
          <w:rFonts w:hint="eastAsia"/>
        </w:rPr>
      </w:pPr>
      <w:r>
        <w:rPr>
          <w:rFonts w:hint="default" w:ascii="仿宋_GB2312" w:hAnsi="仿宋_GB2312" w:eastAsia="仿宋_GB2312" w:cs="仿宋_GB2312"/>
          <w:b w:val="0"/>
          <w:bCs w:val="0"/>
          <w:kern w:val="2"/>
          <w:sz w:val="32"/>
          <w:szCs w:val="32"/>
          <w:lang w:val="en-US" w:eastAsia="zh-CN" w:bidi="ar-SA"/>
        </w:rPr>
        <w:t>进一步完善绩效评价指标体系，增加一些能够反映项目长期效果和社会效益的指标，提高绩效评价的科学性和准确性。加强对项目实施过程的监管，建立健全监督机制，及时发现和解决问题，确保项目资金使用安全、有效。</w:t>
      </w:r>
    </w:p>
    <w:p w14:paraId="51F4FA86">
      <w:pPr>
        <w:pStyle w:val="4"/>
        <w:numPr>
          <w:ilvl w:val="0"/>
          <w:numId w:val="3"/>
        </w:numPr>
        <w:jc w:val="center"/>
        <w:outlineLvl w:val="0"/>
        <w:rPr>
          <w:rFonts w:hint="eastAsia"/>
          <w:sz w:val="44"/>
          <w:szCs w:val="44"/>
        </w:rPr>
      </w:pPr>
      <w:r>
        <w:rPr>
          <w:rFonts w:hint="eastAsia"/>
          <w:sz w:val="44"/>
          <w:szCs w:val="44"/>
        </w:rPr>
        <w:t>凉山州农业学校202</w:t>
      </w:r>
      <w:r>
        <w:rPr>
          <w:rFonts w:hint="eastAsia"/>
          <w:sz w:val="44"/>
          <w:szCs w:val="44"/>
          <w:lang w:val="en-US" w:eastAsia="zh-CN"/>
        </w:rPr>
        <w:t>4</w:t>
      </w:r>
      <w:r>
        <w:rPr>
          <w:rFonts w:hint="eastAsia"/>
          <w:sz w:val="44"/>
          <w:szCs w:val="44"/>
        </w:rPr>
        <w:t>年</w:t>
      </w:r>
    </w:p>
    <w:p w14:paraId="7A43F59B">
      <w:pPr>
        <w:pStyle w:val="4"/>
        <w:jc w:val="center"/>
        <w:rPr>
          <w:rFonts w:ascii="方正小标宋简体" w:eastAsia="方正小标宋简体"/>
          <w:sz w:val="44"/>
          <w:szCs w:val="44"/>
        </w:rPr>
      </w:pPr>
      <w:r>
        <w:rPr>
          <w:rFonts w:hint="eastAsia"/>
          <w:sz w:val="44"/>
          <w:szCs w:val="44"/>
        </w:rPr>
        <w:t>教学设备采购项目支出绩效自评报告</w:t>
      </w:r>
    </w:p>
    <w:p w14:paraId="451AF6B1">
      <w:pPr>
        <w:adjustRightInd w:val="0"/>
        <w:snapToGrid w:val="0"/>
        <w:spacing w:line="560" w:lineRule="exact"/>
        <w:ind w:firstLine="720" w:firstLineChars="0"/>
        <w:outlineLvl w:val="1"/>
        <w:rPr>
          <w:rFonts w:ascii="仿宋_GB2312" w:eastAsia="仿宋_GB2312"/>
          <w:sz w:val="32"/>
          <w:szCs w:val="32"/>
        </w:rPr>
      </w:pPr>
      <w:r>
        <w:rPr>
          <w:rFonts w:hint="eastAsia" w:ascii="仿宋_GB2312" w:eastAsia="仿宋_GB2312"/>
          <w:sz w:val="32"/>
          <w:szCs w:val="32"/>
        </w:rPr>
        <w:t>一、项目概况</w:t>
      </w:r>
    </w:p>
    <w:p w14:paraId="1477B333">
      <w:pPr>
        <w:adjustRightInd w:val="0"/>
        <w:snapToGrid w:val="0"/>
        <w:spacing w:line="360" w:lineRule="auto"/>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rPr>
        <w:t>凉山州农业学校作为目前省内唯一一家农业中职学校，以社会和市场需求为导向，完成设备采购，保障广播系统的正常运行</w:t>
      </w:r>
      <w:r>
        <w:rPr>
          <w:rFonts w:hint="eastAsia" w:ascii="仿宋" w:hAnsi="仿宋" w:eastAsia="仿宋" w:cs="仿宋_GB2312"/>
          <w:sz w:val="32"/>
          <w:szCs w:val="32"/>
          <w:lang w:eastAsia="zh-CN"/>
        </w:rPr>
        <w:t>。</w:t>
      </w:r>
    </w:p>
    <w:p w14:paraId="0E24BDEB">
      <w:pPr>
        <w:adjustRightInd w:val="0"/>
        <w:snapToGrid w:val="0"/>
        <w:spacing w:line="560" w:lineRule="exact"/>
        <w:ind w:firstLine="720" w:firstLineChars="0"/>
        <w:outlineLvl w:val="1"/>
        <w:rPr>
          <w:rFonts w:ascii="仿宋_GB2312" w:eastAsia="仿宋_GB2312"/>
          <w:sz w:val="32"/>
          <w:szCs w:val="32"/>
        </w:rPr>
      </w:pPr>
      <w:r>
        <w:rPr>
          <w:rFonts w:hint="eastAsia" w:ascii="仿宋_GB2312" w:eastAsia="仿宋_GB2312"/>
          <w:sz w:val="32"/>
          <w:szCs w:val="32"/>
        </w:rPr>
        <w:t>二、项目实施及管理情况</w:t>
      </w:r>
    </w:p>
    <w:p w14:paraId="70BE7674">
      <w:pPr>
        <w:adjustRightInd w:val="0"/>
        <w:snapToGrid w:val="0"/>
        <w:spacing w:line="560" w:lineRule="exact"/>
        <w:ind w:firstLine="720"/>
        <w:rPr>
          <w:rFonts w:ascii="仿宋_GB2312" w:eastAsia="仿宋_GB2312"/>
          <w:sz w:val="32"/>
          <w:szCs w:val="32"/>
        </w:rPr>
      </w:pPr>
      <w:r>
        <w:rPr>
          <w:rFonts w:ascii="仿宋_GB2312" w:eastAsia="仿宋_GB2312"/>
          <w:sz w:val="32"/>
          <w:szCs w:val="32"/>
        </w:rPr>
        <w:tab/>
      </w:r>
      <w:r>
        <w:rPr>
          <w:rFonts w:hint="eastAsia" w:ascii="仿宋_GB2312" w:eastAsia="仿宋_GB2312"/>
          <w:sz w:val="32"/>
          <w:szCs w:val="32"/>
        </w:rPr>
        <w:t>（一）资金计划、到位及使用情况。</w:t>
      </w:r>
    </w:p>
    <w:p w14:paraId="61C88AE6">
      <w:pPr>
        <w:adjustRightInd w:val="0"/>
        <w:snapToGrid w:val="0"/>
        <w:spacing w:line="560" w:lineRule="exact"/>
        <w:ind w:firstLine="72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．资金计划及到位。</w:t>
      </w:r>
    </w:p>
    <w:p w14:paraId="11161EC8">
      <w:pPr>
        <w:adjustRightInd w:val="0"/>
        <w:snapToGrid w:val="0"/>
        <w:spacing w:line="360" w:lineRule="auto"/>
        <w:ind w:firstLine="640" w:firstLineChars="200"/>
        <w:rPr>
          <w:rFonts w:hint="eastAsia" w:ascii="仿宋" w:hAnsi="仿宋" w:eastAsia="仿宋" w:cs="仿宋_GB2312"/>
          <w:sz w:val="32"/>
          <w:szCs w:val="32"/>
        </w:rPr>
      </w:pPr>
      <w:r>
        <w:rPr>
          <w:rFonts w:hint="eastAsia" w:ascii="仿宋" w:hAnsi="仿宋" w:eastAsia="仿宋" w:cs="仿宋_GB2312"/>
          <w:sz w:val="32"/>
          <w:szCs w:val="32"/>
        </w:rPr>
        <w:t>录播教室建设经费资金到位及时，实际到位</w:t>
      </w:r>
      <w:r>
        <w:rPr>
          <w:rFonts w:hint="eastAsia" w:ascii="仿宋" w:hAnsi="仿宋" w:eastAsia="仿宋" w:cs="仿宋_GB2312"/>
          <w:sz w:val="32"/>
          <w:szCs w:val="32"/>
          <w:lang w:val="en-US" w:eastAsia="zh-CN"/>
        </w:rPr>
        <w:t>26.88</w:t>
      </w:r>
      <w:r>
        <w:rPr>
          <w:rFonts w:hint="eastAsia" w:ascii="仿宋" w:hAnsi="仿宋" w:eastAsia="仿宋" w:cs="仿宋_GB2312"/>
          <w:sz w:val="32"/>
          <w:szCs w:val="32"/>
        </w:rPr>
        <w:t>万，资金到位率100%。</w:t>
      </w:r>
    </w:p>
    <w:p w14:paraId="7EA12349">
      <w:pPr>
        <w:adjustRightInd w:val="0"/>
        <w:snapToGrid w:val="0"/>
        <w:spacing w:line="560" w:lineRule="exact"/>
        <w:ind w:firstLine="72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．资金使用。</w:t>
      </w:r>
    </w:p>
    <w:p w14:paraId="44ED6412">
      <w:pPr>
        <w:adjustRightInd w:val="0"/>
        <w:snapToGrid w:val="0"/>
        <w:spacing w:line="560" w:lineRule="exact"/>
        <w:ind w:firstLine="720"/>
        <w:rPr>
          <w:rFonts w:hint="eastAsia" w:ascii="仿宋_GB2312" w:eastAsia="仿宋_GB2312"/>
          <w:sz w:val="32"/>
          <w:szCs w:val="32"/>
          <w:lang w:eastAsia="zh-CN"/>
        </w:rPr>
      </w:pPr>
      <w:r>
        <w:rPr>
          <w:rFonts w:hint="eastAsia" w:ascii="仿宋" w:hAnsi="仿宋" w:eastAsia="仿宋" w:cs="仿宋_GB2312"/>
          <w:sz w:val="32"/>
          <w:szCs w:val="32"/>
        </w:rPr>
        <w:t>项目全年预算数</w:t>
      </w:r>
      <w:r>
        <w:rPr>
          <w:rFonts w:hint="eastAsia" w:ascii="仿宋" w:hAnsi="仿宋" w:eastAsia="仿宋" w:cs="仿宋_GB2312"/>
          <w:sz w:val="32"/>
          <w:szCs w:val="32"/>
          <w:lang w:val="en-US" w:eastAsia="zh-CN"/>
        </w:rPr>
        <w:t>26.88</w:t>
      </w:r>
      <w:r>
        <w:rPr>
          <w:rFonts w:hint="eastAsia" w:ascii="仿宋" w:hAnsi="仿宋" w:eastAsia="仿宋" w:cs="仿宋_GB2312"/>
          <w:sz w:val="32"/>
          <w:szCs w:val="32"/>
        </w:rPr>
        <w:t>万元，执行数为</w:t>
      </w:r>
      <w:r>
        <w:rPr>
          <w:rFonts w:hint="eastAsia" w:ascii="仿宋" w:hAnsi="仿宋" w:eastAsia="仿宋" w:cs="仿宋_GB2312"/>
          <w:sz w:val="32"/>
          <w:szCs w:val="32"/>
          <w:lang w:val="en-US" w:eastAsia="zh-CN"/>
        </w:rPr>
        <w:t>26.88</w:t>
      </w:r>
      <w:r>
        <w:rPr>
          <w:rFonts w:hint="eastAsia" w:ascii="仿宋" w:hAnsi="仿宋" w:eastAsia="仿宋" w:cs="仿宋_GB2312"/>
          <w:sz w:val="32"/>
          <w:szCs w:val="32"/>
        </w:rPr>
        <w:t>万元，完</w:t>
      </w:r>
      <w:r>
        <w:rPr>
          <w:rFonts w:hint="eastAsia" w:ascii="仿宋_GB2312" w:eastAsia="仿宋_GB2312"/>
          <w:sz w:val="32"/>
          <w:szCs w:val="32"/>
        </w:rPr>
        <w:t>成预算的100%。在规定时间内完成设备采购，广播质量合格</w:t>
      </w:r>
      <w:r>
        <w:rPr>
          <w:rFonts w:hint="eastAsia" w:ascii="仿宋_GB2312" w:eastAsia="仿宋_GB2312"/>
          <w:sz w:val="32"/>
          <w:szCs w:val="32"/>
          <w:lang w:eastAsia="zh-CN"/>
        </w:rPr>
        <w:t>，</w:t>
      </w:r>
      <w:r>
        <w:rPr>
          <w:rFonts w:hint="eastAsia" w:ascii="仿宋_GB2312" w:eastAsia="仿宋_GB2312"/>
          <w:sz w:val="32"/>
          <w:szCs w:val="32"/>
        </w:rPr>
        <w:t>保障广播系统的正常运行，通过此次采购，可至少保障5年内单位广播需求</w:t>
      </w:r>
      <w:r>
        <w:rPr>
          <w:rFonts w:hint="eastAsia" w:ascii="仿宋_GB2312" w:eastAsia="仿宋_GB2312"/>
          <w:sz w:val="32"/>
          <w:szCs w:val="32"/>
          <w:lang w:eastAsia="zh-CN"/>
        </w:rPr>
        <w:t>。</w:t>
      </w:r>
    </w:p>
    <w:p w14:paraId="1ECEBECD">
      <w:pPr>
        <w:adjustRightInd w:val="0"/>
        <w:snapToGrid w:val="0"/>
        <w:spacing w:line="560" w:lineRule="exact"/>
        <w:ind w:firstLine="720" w:firstLineChars="0"/>
        <w:outlineLvl w:val="1"/>
        <w:rPr>
          <w:rFonts w:ascii="仿宋_GB2312" w:eastAsia="仿宋_GB2312"/>
          <w:sz w:val="32"/>
          <w:szCs w:val="32"/>
        </w:rPr>
      </w:pPr>
      <w:r>
        <w:rPr>
          <w:rFonts w:hint="eastAsia" w:ascii="仿宋_GB2312" w:eastAsia="仿宋_GB2312"/>
          <w:sz w:val="32"/>
          <w:szCs w:val="32"/>
          <w:lang w:val="en-US" w:eastAsia="zh-CN"/>
        </w:rPr>
        <w:t>三</w:t>
      </w:r>
      <w:r>
        <w:rPr>
          <w:rFonts w:ascii="仿宋_GB2312" w:eastAsia="仿宋_GB2312"/>
          <w:sz w:val="32"/>
          <w:szCs w:val="32"/>
        </w:rPr>
        <w:t>、评价结论</w:t>
      </w:r>
    </w:p>
    <w:p w14:paraId="7CCFABF7">
      <w:pPr>
        <w:adjustRightInd w:val="0"/>
        <w:snapToGrid w:val="0"/>
        <w:spacing w:line="560" w:lineRule="exact"/>
        <w:ind w:firstLine="720"/>
        <w:rPr>
          <w:rFonts w:ascii="仿宋_GB2312" w:eastAsia="仿宋_GB2312"/>
          <w:sz w:val="32"/>
          <w:szCs w:val="32"/>
          <w:lang w:val="zh-CN"/>
        </w:rPr>
      </w:pPr>
      <w:r>
        <w:rPr>
          <w:rFonts w:hint="eastAsia" w:ascii="仿宋_GB2312" w:eastAsia="仿宋_GB2312"/>
          <w:sz w:val="32"/>
          <w:szCs w:val="32"/>
          <w:lang w:val="en-US" w:eastAsia="zh-CN"/>
        </w:rPr>
        <w:t>广播</w:t>
      </w:r>
      <w:r>
        <w:rPr>
          <w:rFonts w:hint="eastAsia" w:ascii="仿宋_GB2312" w:eastAsia="仿宋_GB2312"/>
          <w:sz w:val="32"/>
          <w:szCs w:val="32"/>
          <w:lang w:val="zh-CN"/>
        </w:rPr>
        <w:t>覆盖全校区域，包括教学楼、操场、食堂等。绩效目标：一是提升音质，确保广播清晰无杂音；二是优化功能，实现分区播放、定时控制；三是助力校园文化建设，丰富广播内容，营造良好氛围。自评结果显示，项目完成情况良好。音质提升明显，分区播放功能运行正常。</w:t>
      </w:r>
    </w:p>
    <w:p w14:paraId="29E7FC95">
      <w:pPr>
        <w:adjustRightInd w:val="0"/>
        <w:snapToGrid w:val="0"/>
        <w:spacing w:line="560" w:lineRule="exact"/>
        <w:ind w:firstLine="720" w:firstLineChars="0"/>
        <w:outlineLvl w:val="1"/>
        <w:rPr>
          <w:rFonts w:ascii="仿宋_GB2312" w:eastAsia="仿宋_GB2312"/>
          <w:sz w:val="32"/>
          <w:szCs w:val="32"/>
          <w:lang w:eastAsia="zh-CN"/>
        </w:rPr>
      </w:pPr>
      <w:r>
        <w:rPr>
          <w:rFonts w:hint="eastAsia" w:ascii="仿宋_GB2312" w:eastAsia="仿宋_GB2312"/>
          <w:sz w:val="32"/>
          <w:szCs w:val="32"/>
          <w:lang w:val="en-US" w:eastAsia="zh-CN"/>
        </w:rPr>
        <w:t>四</w:t>
      </w:r>
      <w:r>
        <w:rPr>
          <w:rFonts w:ascii="仿宋_GB2312" w:eastAsia="仿宋_GB2312"/>
          <w:sz w:val="32"/>
          <w:szCs w:val="32"/>
          <w:lang w:eastAsia="zh-CN"/>
        </w:rPr>
        <w:t>、存在主要问题</w:t>
      </w:r>
    </w:p>
    <w:p w14:paraId="5AB1D483">
      <w:pPr>
        <w:adjustRightInd w:val="0"/>
        <w:snapToGrid w:val="0"/>
        <w:spacing w:line="560" w:lineRule="exact"/>
        <w:ind w:firstLine="720"/>
        <w:rPr>
          <w:rFonts w:hint="eastAsia" w:ascii="仿宋_GB2312" w:eastAsia="仿宋_GB2312"/>
          <w:sz w:val="32"/>
          <w:szCs w:val="32"/>
          <w:lang w:val="zh-CN" w:eastAsia="zh-CN"/>
        </w:rPr>
      </w:pPr>
      <w:r>
        <w:rPr>
          <w:rFonts w:hint="eastAsia" w:ascii="仿宋_GB2312" w:eastAsia="仿宋_GB2312"/>
          <w:sz w:val="32"/>
          <w:szCs w:val="32"/>
          <w:lang w:val="zh-CN"/>
        </w:rPr>
        <w:t>部分设备调试需优化，已安排整改。</w:t>
      </w:r>
    </w:p>
    <w:p w14:paraId="4F67D6A8">
      <w:pPr>
        <w:adjustRightInd w:val="0"/>
        <w:snapToGrid w:val="0"/>
        <w:spacing w:line="560" w:lineRule="exact"/>
        <w:ind w:firstLine="720" w:firstLineChars="0"/>
        <w:outlineLvl w:val="1"/>
        <w:rPr>
          <w:rFonts w:ascii="仿宋_GB2312" w:eastAsia="仿宋_GB2312"/>
          <w:sz w:val="32"/>
          <w:szCs w:val="32"/>
          <w:lang w:val="zh-CN" w:eastAsia="zh-CN"/>
        </w:rPr>
      </w:pPr>
      <w:r>
        <w:rPr>
          <w:rFonts w:hint="eastAsia" w:ascii="仿宋_GB2312" w:eastAsia="仿宋_GB2312"/>
          <w:sz w:val="32"/>
          <w:szCs w:val="32"/>
          <w:lang w:val="en-US" w:eastAsia="zh-CN"/>
        </w:rPr>
        <w:t>五</w:t>
      </w:r>
      <w:r>
        <w:rPr>
          <w:rFonts w:ascii="仿宋_GB2312" w:eastAsia="仿宋_GB2312"/>
          <w:sz w:val="32"/>
          <w:szCs w:val="32"/>
          <w:lang w:val="zh-CN" w:eastAsia="zh-CN"/>
        </w:rPr>
        <w:t>、改进建议</w:t>
      </w:r>
    </w:p>
    <w:p w14:paraId="7BA4ECEA">
      <w:pPr>
        <w:adjustRightInd w:val="0"/>
        <w:snapToGrid w:val="0"/>
        <w:spacing w:line="560" w:lineRule="exact"/>
        <w:ind w:firstLine="720"/>
        <w:rPr>
          <w:rFonts w:ascii="仿宋_GB2312" w:eastAsia="仿宋_GB2312"/>
          <w:sz w:val="32"/>
          <w:szCs w:val="32"/>
        </w:rPr>
      </w:pPr>
      <w:r>
        <w:rPr>
          <w:rFonts w:hint="eastAsia" w:ascii="仿宋_GB2312" w:eastAsia="仿宋_GB2312"/>
          <w:sz w:val="32"/>
          <w:szCs w:val="32"/>
          <w:lang w:val="en-US" w:eastAsia="zh-CN"/>
        </w:rPr>
        <w:t>已联系相关工作人员对设备进行调试优化。</w:t>
      </w:r>
    </w:p>
    <w:p w14:paraId="79D9F2B4">
      <w:pPr>
        <w:pStyle w:val="2"/>
        <w:rPr>
          <w:rFonts w:hint="eastAsia"/>
        </w:rPr>
      </w:pPr>
    </w:p>
    <w:p w14:paraId="0B7C381D">
      <w:pPr>
        <w:pStyle w:val="4"/>
        <w:numPr>
          <w:ilvl w:val="0"/>
          <w:numId w:val="3"/>
        </w:numPr>
        <w:jc w:val="center"/>
        <w:outlineLvl w:val="0"/>
        <w:rPr>
          <w:rFonts w:hint="eastAsia"/>
          <w:sz w:val="44"/>
          <w:szCs w:val="44"/>
        </w:rPr>
      </w:pPr>
      <w:r>
        <w:rPr>
          <w:rFonts w:hint="eastAsia"/>
          <w:sz w:val="44"/>
          <w:szCs w:val="44"/>
        </w:rPr>
        <w:t>凉山州农业学校202</w:t>
      </w:r>
      <w:r>
        <w:rPr>
          <w:rFonts w:hint="eastAsia"/>
          <w:sz w:val="44"/>
          <w:szCs w:val="44"/>
          <w:lang w:val="en-US" w:eastAsia="zh-CN"/>
        </w:rPr>
        <w:t>4</w:t>
      </w:r>
      <w:r>
        <w:rPr>
          <w:rFonts w:hint="eastAsia"/>
          <w:sz w:val="44"/>
          <w:szCs w:val="44"/>
        </w:rPr>
        <w:t>年</w:t>
      </w:r>
    </w:p>
    <w:p w14:paraId="507EF77B">
      <w:pPr>
        <w:pStyle w:val="4"/>
        <w:jc w:val="center"/>
        <w:rPr>
          <w:sz w:val="44"/>
          <w:szCs w:val="44"/>
        </w:rPr>
      </w:pPr>
      <w:r>
        <w:rPr>
          <w:rFonts w:hint="eastAsia"/>
          <w:sz w:val="44"/>
          <w:szCs w:val="44"/>
        </w:rPr>
        <w:t>临聘人员及代课教师经费项目支出绩效自评报告</w:t>
      </w:r>
    </w:p>
    <w:p w14:paraId="6FFDAB65">
      <w:pPr>
        <w:adjustRightInd w:val="0"/>
        <w:snapToGrid w:val="0"/>
        <w:spacing w:line="560" w:lineRule="exact"/>
        <w:ind w:firstLine="720" w:firstLineChars="0"/>
        <w:outlineLvl w:val="1"/>
        <w:rPr>
          <w:rFonts w:ascii="仿宋_GB2312" w:eastAsia="仿宋_GB2312"/>
          <w:sz w:val="32"/>
          <w:szCs w:val="32"/>
        </w:rPr>
      </w:pPr>
      <w:r>
        <w:rPr>
          <w:rFonts w:hint="eastAsia" w:ascii="仿宋_GB2312" w:eastAsia="仿宋_GB2312"/>
          <w:sz w:val="32"/>
          <w:szCs w:val="32"/>
        </w:rPr>
        <w:t>一、项目概况</w:t>
      </w:r>
    </w:p>
    <w:p w14:paraId="66A9105E">
      <w:pPr>
        <w:adjustRightInd w:val="0"/>
        <w:snapToGrid w:val="0"/>
        <w:spacing w:line="360" w:lineRule="auto"/>
        <w:ind w:firstLine="640" w:firstLineChars="200"/>
        <w:rPr>
          <w:rFonts w:ascii="仿宋" w:hAnsi="仿宋" w:eastAsia="仿宋" w:cs="仿宋_GB2312"/>
          <w:sz w:val="32"/>
          <w:szCs w:val="32"/>
        </w:rPr>
      </w:pPr>
      <w:r>
        <w:rPr>
          <w:rFonts w:hint="eastAsia" w:ascii="仿宋" w:hAnsi="仿宋" w:eastAsia="仿宋" w:cs="仿宋_GB2312"/>
          <w:sz w:val="32"/>
          <w:szCs w:val="32"/>
        </w:rPr>
        <w:t>临聘人员及代课教师经费项目主要用于发放学校临聘人员工资及代课教师费用，通过项目实施保障临聘人员与代课教师待遇按时发放。</w:t>
      </w:r>
    </w:p>
    <w:p w14:paraId="7BD3C56A">
      <w:pPr>
        <w:adjustRightInd w:val="0"/>
        <w:snapToGrid w:val="0"/>
        <w:spacing w:line="560" w:lineRule="exact"/>
        <w:ind w:firstLine="720" w:firstLineChars="0"/>
        <w:outlineLvl w:val="1"/>
        <w:rPr>
          <w:rFonts w:ascii="仿宋_GB2312" w:eastAsia="仿宋_GB2312"/>
          <w:sz w:val="32"/>
          <w:szCs w:val="32"/>
        </w:rPr>
      </w:pPr>
      <w:r>
        <w:rPr>
          <w:rFonts w:hint="eastAsia" w:ascii="仿宋_GB2312" w:eastAsia="仿宋_GB2312"/>
          <w:sz w:val="32"/>
          <w:szCs w:val="32"/>
        </w:rPr>
        <w:t>二、项目实施及管理情况</w:t>
      </w:r>
    </w:p>
    <w:p w14:paraId="18072350">
      <w:pPr>
        <w:adjustRightInd w:val="0"/>
        <w:snapToGrid w:val="0"/>
        <w:spacing w:line="560" w:lineRule="exact"/>
        <w:ind w:firstLine="720"/>
        <w:rPr>
          <w:rFonts w:ascii="仿宋_GB2312" w:eastAsia="仿宋_GB2312"/>
          <w:sz w:val="32"/>
          <w:szCs w:val="32"/>
        </w:rPr>
      </w:pPr>
      <w:r>
        <w:rPr>
          <w:rFonts w:ascii="仿宋_GB2312" w:eastAsia="仿宋_GB2312"/>
          <w:sz w:val="32"/>
          <w:szCs w:val="32"/>
        </w:rPr>
        <w:tab/>
      </w:r>
      <w:r>
        <w:rPr>
          <w:rFonts w:hint="eastAsia" w:ascii="仿宋_GB2312" w:eastAsia="仿宋_GB2312"/>
          <w:sz w:val="32"/>
          <w:szCs w:val="32"/>
        </w:rPr>
        <w:t>（一）资金计划、到位及使用情况。</w:t>
      </w:r>
    </w:p>
    <w:p w14:paraId="2B7F41F3">
      <w:pPr>
        <w:adjustRightInd w:val="0"/>
        <w:snapToGrid w:val="0"/>
        <w:spacing w:line="560" w:lineRule="exact"/>
        <w:ind w:firstLine="72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．资金计划及到位。</w:t>
      </w:r>
    </w:p>
    <w:p w14:paraId="0A24AA86">
      <w:pPr>
        <w:adjustRightInd w:val="0"/>
        <w:snapToGrid w:val="0"/>
        <w:spacing w:line="560" w:lineRule="exact"/>
        <w:ind w:firstLine="720"/>
        <w:rPr>
          <w:rFonts w:hint="eastAsia" w:ascii="仿宋" w:hAnsi="仿宋" w:eastAsia="仿宋" w:cs="仿宋_GB2312"/>
          <w:sz w:val="32"/>
          <w:szCs w:val="32"/>
        </w:rPr>
      </w:pPr>
      <w:r>
        <w:rPr>
          <w:rFonts w:hint="eastAsia" w:ascii="仿宋" w:hAnsi="仿宋" w:eastAsia="仿宋" w:cs="仿宋_GB2312"/>
          <w:sz w:val="32"/>
          <w:szCs w:val="32"/>
        </w:rPr>
        <w:t>临聘人员及代课教师经费资金到位及时，实际到位</w:t>
      </w:r>
      <w:r>
        <w:rPr>
          <w:rFonts w:hint="eastAsia" w:ascii="仿宋" w:hAnsi="仿宋" w:eastAsia="仿宋" w:cs="仿宋_GB2312"/>
          <w:sz w:val="32"/>
          <w:szCs w:val="32"/>
          <w:lang w:val="en-US" w:eastAsia="zh-CN"/>
        </w:rPr>
        <w:t>187.13</w:t>
      </w:r>
      <w:r>
        <w:rPr>
          <w:rFonts w:hint="eastAsia" w:ascii="仿宋" w:hAnsi="仿宋" w:eastAsia="仿宋" w:cs="仿宋_GB2312"/>
          <w:sz w:val="32"/>
          <w:szCs w:val="32"/>
        </w:rPr>
        <w:t>万，资金到位率100%。</w:t>
      </w:r>
    </w:p>
    <w:p w14:paraId="21868F70">
      <w:pPr>
        <w:adjustRightInd w:val="0"/>
        <w:snapToGrid w:val="0"/>
        <w:spacing w:line="560" w:lineRule="exact"/>
        <w:ind w:firstLine="72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．资金使用。</w:t>
      </w:r>
    </w:p>
    <w:p w14:paraId="7DAD514C">
      <w:pPr>
        <w:adjustRightInd w:val="0"/>
        <w:snapToGrid w:val="0"/>
        <w:spacing w:line="560" w:lineRule="exact"/>
        <w:ind w:firstLine="720"/>
        <w:rPr>
          <w:rFonts w:hint="eastAsia" w:ascii="仿宋_GB2312" w:hAnsi="Times New Roman" w:eastAsia="仿宋_GB2312"/>
          <w:sz w:val="32"/>
          <w:szCs w:val="32"/>
        </w:rPr>
      </w:pPr>
      <w:r>
        <w:rPr>
          <w:rFonts w:hint="eastAsia" w:ascii="仿宋" w:hAnsi="仿宋" w:eastAsia="仿宋" w:cs="仿宋_GB2312"/>
          <w:sz w:val="32"/>
          <w:szCs w:val="32"/>
        </w:rPr>
        <w:t>项目202</w:t>
      </w:r>
      <w:r>
        <w:rPr>
          <w:rFonts w:hint="eastAsia" w:ascii="仿宋" w:hAnsi="仿宋" w:eastAsia="仿宋" w:cs="仿宋_GB2312"/>
          <w:sz w:val="32"/>
          <w:szCs w:val="32"/>
          <w:lang w:val="en-US" w:eastAsia="zh-CN"/>
        </w:rPr>
        <w:t>4</w:t>
      </w:r>
      <w:r>
        <w:rPr>
          <w:rFonts w:hint="eastAsia" w:ascii="仿宋" w:hAnsi="仿宋" w:eastAsia="仿宋" w:cs="仿宋_GB2312"/>
          <w:sz w:val="32"/>
          <w:szCs w:val="32"/>
        </w:rPr>
        <w:t>年执行数为</w:t>
      </w:r>
      <w:r>
        <w:rPr>
          <w:rFonts w:hint="eastAsia" w:ascii="仿宋" w:hAnsi="仿宋" w:eastAsia="仿宋" w:cs="仿宋_GB2312"/>
          <w:sz w:val="32"/>
          <w:szCs w:val="32"/>
          <w:lang w:val="en-US" w:eastAsia="zh-CN"/>
        </w:rPr>
        <w:t>187.13</w:t>
      </w:r>
      <w:r>
        <w:rPr>
          <w:rFonts w:hint="eastAsia" w:ascii="仿宋" w:hAnsi="仿宋" w:eastAsia="仿宋" w:cs="仿宋_GB2312"/>
          <w:sz w:val="32"/>
          <w:szCs w:val="32"/>
        </w:rPr>
        <w:t>万元，完成预算的</w:t>
      </w:r>
      <w:r>
        <w:rPr>
          <w:rFonts w:hint="eastAsia" w:ascii="仿宋" w:hAnsi="仿宋" w:eastAsia="仿宋" w:cs="仿宋_GB2312"/>
          <w:sz w:val="32"/>
          <w:szCs w:val="32"/>
          <w:lang w:val="en-US" w:eastAsia="zh-CN"/>
        </w:rPr>
        <w:t>100</w:t>
      </w:r>
      <w:r>
        <w:rPr>
          <w:rFonts w:hint="eastAsia" w:ascii="仿宋" w:hAnsi="仿宋" w:eastAsia="仿宋" w:cs="仿宋_GB2312"/>
          <w:sz w:val="32"/>
          <w:szCs w:val="32"/>
        </w:rPr>
        <w:t>%。通过项目实施，保障了学校工作正常进行，满足了众多岗位缺乏的需求，保障临聘人员与代课教师待遇按时发放。</w:t>
      </w:r>
    </w:p>
    <w:p w14:paraId="2A6C9976">
      <w:pPr>
        <w:spacing w:line="600" w:lineRule="exact"/>
        <w:ind w:firstLine="640"/>
        <w:rPr>
          <w:rFonts w:hint="eastAsia" w:ascii="Times New Roman" w:hAnsi="Times New Roman" w:eastAsia="仿宋_GB2312" w:cs="仿宋_GB2312"/>
          <w:color w:val="auto"/>
          <w:kern w:val="2"/>
          <w:sz w:val="32"/>
          <w:szCs w:val="32"/>
          <w:highlight w:val="none"/>
          <w:lang w:val="en-US" w:eastAsia="zh-CN" w:bidi="ar-SA"/>
        </w:rPr>
      </w:pPr>
    </w:p>
    <w:p w14:paraId="7A690BAC">
      <w:pPr>
        <w:pStyle w:val="2"/>
        <w:rPr>
          <w:rFonts w:hint="eastAsia"/>
          <w:lang w:val="en-US" w:eastAsia="zh-CN"/>
        </w:rPr>
      </w:pPr>
    </w:p>
    <w:p w14:paraId="5326D070">
      <w:pPr>
        <w:numPr>
          <w:ilvl w:val="0"/>
          <w:numId w:val="0"/>
        </w:numPr>
        <w:spacing w:line="600" w:lineRule="exact"/>
        <w:jc w:val="center"/>
        <w:outlineLvl w:val="0"/>
        <w:rPr>
          <w:rFonts w:hint="eastAsia" w:ascii="Times New Roman" w:hAnsi="Times New Roman" w:eastAsia="黑体"/>
          <w:color w:val="auto"/>
          <w:sz w:val="44"/>
          <w:szCs w:val="44"/>
          <w:highlight w:val="none"/>
        </w:rPr>
      </w:pPr>
      <w:bookmarkStart w:id="42" w:name="_Toc15377225"/>
      <w:bookmarkStart w:id="43" w:name="_Toc15396613"/>
      <w:r>
        <w:rPr>
          <w:rFonts w:hint="eastAsia" w:ascii="Times New Roman" w:hAnsi="Times New Roman" w:eastAsia="黑体"/>
          <w:color w:val="auto"/>
          <w:sz w:val="44"/>
          <w:szCs w:val="44"/>
          <w:highlight w:val="none"/>
        </w:rPr>
        <w:t>第</w:t>
      </w:r>
      <w:r>
        <w:rPr>
          <w:rFonts w:hint="eastAsia" w:eastAsia="黑体"/>
          <w:color w:val="auto"/>
          <w:sz w:val="44"/>
          <w:szCs w:val="44"/>
          <w:highlight w:val="none"/>
          <w:lang w:eastAsia="zh-CN"/>
        </w:rPr>
        <w:t>三</w:t>
      </w:r>
      <w:r>
        <w:rPr>
          <w:rFonts w:hint="eastAsia" w:ascii="Times New Roman" w:hAnsi="Times New Roman" w:eastAsia="黑体"/>
          <w:color w:val="auto"/>
          <w:sz w:val="44"/>
          <w:szCs w:val="44"/>
          <w:highlight w:val="none"/>
        </w:rPr>
        <w:t>部分</w:t>
      </w:r>
      <w:r>
        <w:rPr>
          <w:rFonts w:hint="eastAsia" w:ascii="Times New Roman" w:hAnsi="Times New Roman" w:eastAsia="黑体"/>
          <w:color w:val="auto"/>
          <w:sz w:val="44"/>
          <w:szCs w:val="44"/>
          <w:highlight w:val="none"/>
          <w:lang w:val="en-US" w:eastAsia="zh-CN"/>
        </w:rPr>
        <w:t xml:space="preserve"> </w:t>
      </w:r>
      <w:r>
        <w:rPr>
          <w:rFonts w:hint="eastAsia"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名词解释</w:t>
      </w:r>
      <w:bookmarkEnd w:id="42"/>
      <w:bookmarkEnd w:id="43"/>
    </w:p>
    <w:p w14:paraId="6CF6D366">
      <w:pPr>
        <w:spacing w:line="600" w:lineRule="exact"/>
        <w:jc w:val="left"/>
        <w:rPr>
          <w:rFonts w:ascii="Times New Roman" w:hAnsi="Times New Roman"/>
          <w:b/>
          <w:color w:val="auto"/>
          <w:sz w:val="44"/>
          <w:szCs w:val="44"/>
          <w:highlight w:val="none"/>
        </w:rPr>
      </w:pPr>
    </w:p>
    <w:p w14:paraId="09EFD7C6">
      <w:pPr>
        <w:adjustRightInd w:val="0"/>
        <w:snapToGrid w:val="0"/>
        <w:spacing w:line="560" w:lineRule="exact"/>
        <w:ind w:firstLine="720"/>
        <w:rPr>
          <w:rFonts w:ascii="仿宋" w:hAnsi="仿宋" w:eastAsia="仿宋" w:cs="仿宋_GB2312"/>
          <w:sz w:val="32"/>
          <w:szCs w:val="32"/>
        </w:rPr>
      </w:pPr>
      <w:bookmarkStart w:id="44" w:name="_Toc15377226"/>
      <w:r>
        <w:rPr>
          <w:rFonts w:ascii="仿宋" w:hAnsi="仿宋" w:eastAsia="仿宋" w:cs="仿宋_GB2312"/>
          <w:sz w:val="32"/>
          <w:szCs w:val="32"/>
        </w:rPr>
        <w:t>1.</w:t>
      </w:r>
      <w:r>
        <w:rPr>
          <w:rFonts w:hint="eastAsia" w:ascii="仿宋" w:hAnsi="仿宋" w:eastAsia="仿宋" w:cs="仿宋_GB2312"/>
          <w:sz w:val="32"/>
          <w:szCs w:val="32"/>
        </w:rPr>
        <w:t>财政拨款收入：指单位从同级财政部门取得的财政预算资金。</w:t>
      </w:r>
    </w:p>
    <w:p w14:paraId="7E96ADCE">
      <w:pPr>
        <w:adjustRightInd w:val="0"/>
        <w:snapToGrid w:val="0"/>
        <w:spacing w:line="560" w:lineRule="exact"/>
        <w:ind w:firstLine="72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事业收入：指事业单位开展专业业务活动及辅助活动取得的收入。</w:t>
      </w:r>
    </w:p>
    <w:p w14:paraId="454B7912">
      <w:pPr>
        <w:adjustRightInd w:val="0"/>
        <w:snapToGrid w:val="0"/>
        <w:spacing w:line="560" w:lineRule="exact"/>
        <w:ind w:firstLine="720"/>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经营收入：指事业单位在专业业务活动及其辅助活动之外开展非独立核算经营活动取得的收入。</w:t>
      </w:r>
    </w:p>
    <w:p w14:paraId="58CB7499">
      <w:pPr>
        <w:adjustRightInd w:val="0"/>
        <w:snapToGrid w:val="0"/>
        <w:spacing w:line="560" w:lineRule="exact"/>
        <w:ind w:firstLine="720"/>
        <w:rPr>
          <w:rFonts w:ascii="仿宋" w:hAnsi="仿宋" w:eastAsia="仿宋" w:cs="仿宋_GB2312"/>
          <w:sz w:val="32"/>
          <w:szCs w:val="32"/>
        </w:rPr>
      </w:pPr>
      <w:r>
        <w:rPr>
          <w:rFonts w:ascii="仿宋" w:hAnsi="仿宋" w:eastAsia="仿宋" w:cs="仿宋_GB2312"/>
          <w:sz w:val="32"/>
          <w:szCs w:val="32"/>
        </w:rPr>
        <w:t>4.</w:t>
      </w:r>
      <w:r>
        <w:rPr>
          <w:rFonts w:hint="eastAsia" w:ascii="仿宋" w:hAnsi="仿宋" w:eastAsia="仿宋" w:cs="仿宋_GB2312"/>
          <w:sz w:val="32"/>
          <w:szCs w:val="32"/>
        </w:rPr>
        <w:t>其他收入：指单位取得的除上述收入以外的各项收入。</w:t>
      </w:r>
    </w:p>
    <w:p w14:paraId="2273F5F2">
      <w:pPr>
        <w:adjustRightInd w:val="0"/>
        <w:snapToGrid w:val="0"/>
        <w:spacing w:line="560" w:lineRule="exact"/>
        <w:ind w:firstLine="720"/>
        <w:rPr>
          <w:rFonts w:ascii="仿宋" w:hAnsi="仿宋" w:eastAsia="仿宋" w:cs="仿宋_GB2312"/>
          <w:sz w:val="32"/>
          <w:szCs w:val="32"/>
        </w:rPr>
      </w:pPr>
      <w:r>
        <w:rPr>
          <w:rFonts w:ascii="仿宋" w:hAnsi="仿宋" w:eastAsia="仿宋" w:cs="仿宋_GB2312"/>
          <w:sz w:val="32"/>
          <w:szCs w:val="32"/>
        </w:rPr>
        <w:t>5.</w:t>
      </w:r>
      <w:r>
        <w:rPr>
          <w:rFonts w:hint="eastAsia" w:ascii="仿宋" w:hAnsi="仿宋" w:eastAsia="仿宋" w:cs="仿宋_GB2312"/>
          <w:sz w:val="32"/>
          <w:szCs w:val="32"/>
        </w:rPr>
        <w:t>使用非财政拨款结余：指事业单位使用以前年度积累的非财政拨款结余弥补当年收支差额的金额。</w:t>
      </w:r>
      <w:r>
        <w:rPr>
          <w:rFonts w:ascii="仿宋" w:hAnsi="仿宋" w:eastAsia="仿宋" w:cs="仿宋_GB2312"/>
          <w:sz w:val="32"/>
          <w:szCs w:val="32"/>
        </w:rPr>
        <w:t xml:space="preserve"> </w:t>
      </w:r>
    </w:p>
    <w:p w14:paraId="3F156C7C">
      <w:pPr>
        <w:adjustRightInd w:val="0"/>
        <w:snapToGrid w:val="0"/>
        <w:spacing w:line="560" w:lineRule="exact"/>
        <w:ind w:firstLine="720"/>
        <w:rPr>
          <w:rFonts w:ascii="仿宋" w:hAnsi="仿宋" w:eastAsia="仿宋" w:cs="仿宋_GB2312"/>
          <w:sz w:val="32"/>
          <w:szCs w:val="32"/>
        </w:rPr>
      </w:pPr>
      <w:r>
        <w:rPr>
          <w:rFonts w:ascii="仿宋" w:hAnsi="仿宋" w:eastAsia="仿宋" w:cs="仿宋_GB2312"/>
          <w:sz w:val="32"/>
          <w:szCs w:val="32"/>
        </w:rPr>
        <w:t>6.</w:t>
      </w:r>
      <w:r>
        <w:rPr>
          <w:rFonts w:hint="eastAsia" w:ascii="仿宋" w:hAnsi="仿宋" w:eastAsia="仿宋" w:cs="仿宋_GB2312"/>
          <w:sz w:val="32"/>
          <w:szCs w:val="32"/>
        </w:rPr>
        <w:t>年初结转和结余：指以前年度尚未完成、结转到本年按有关规定继续使用的资金。</w:t>
      </w:r>
      <w:r>
        <w:rPr>
          <w:rFonts w:ascii="仿宋" w:hAnsi="仿宋" w:eastAsia="仿宋" w:cs="仿宋_GB2312"/>
          <w:sz w:val="32"/>
          <w:szCs w:val="32"/>
        </w:rPr>
        <w:t xml:space="preserve"> </w:t>
      </w:r>
    </w:p>
    <w:p w14:paraId="4912B25E">
      <w:pPr>
        <w:adjustRightInd w:val="0"/>
        <w:snapToGrid w:val="0"/>
        <w:spacing w:line="560" w:lineRule="exact"/>
        <w:ind w:firstLine="720"/>
        <w:rPr>
          <w:rFonts w:ascii="仿宋" w:hAnsi="仿宋" w:eastAsia="仿宋" w:cs="仿宋_GB2312"/>
          <w:sz w:val="32"/>
          <w:szCs w:val="32"/>
        </w:rPr>
      </w:pPr>
      <w:r>
        <w:rPr>
          <w:rFonts w:ascii="仿宋" w:hAnsi="仿宋" w:eastAsia="仿宋" w:cs="仿宋_GB2312"/>
          <w:sz w:val="32"/>
          <w:szCs w:val="32"/>
        </w:rPr>
        <w:t>7.</w:t>
      </w:r>
      <w:r>
        <w:rPr>
          <w:rFonts w:hint="eastAsia" w:ascii="仿宋" w:hAnsi="仿宋" w:eastAsia="仿宋" w:cs="仿宋_GB2312"/>
          <w:sz w:val="32"/>
          <w:szCs w:val="32"/>
        </w:rPr>
        <w:t>结余分配：指事业单位按照会计制度规定缴纳的所得税、提取的专用结余以及转入非财政拨款结余的金额等。</w:t>
      </w:r>
    </w:p>
    <w:p w14:paraId="0292CB93">
      <w:pPr>
        <w:adjustRightInd w:val="0"/>
        <w:snapToGrid w:val="0"/>
        <w:spacing w:line="560" w:lineRule="exact"/>
        <w:ind w:firstLine="720"/>
        <w:rPr>
          <w:rFonts w:ascii="仿宋" w:hAnsi="仿宋" w:eastAsia="仿宋" w:cs="仿宋_GB2312"/>
          <w:sz w:val="32"/>
          <w:szCs w:val="32"/>
        </w:rPr>
      </w:pPr>
      <w:r>
        <w:rPr>
          <w:rFonts w:ascii="仿宋" w:hAnsi="仿宋" w:eastAsia="仿宋" w:cs="仿宋_GB2312"/>
          <w:sz w:val="32"/>
          <w:szCs w:val="32"/>
        </w:rPr>
        <w:t>8</w:t>
      </w:r>
      <w:r>
        <w:rPr>
          <w:rFonts w:hint="eastAsia" w:ascii="仿宋" w:hAnsi="仿宋" w:eastAsia="仿宋" w:cs="仿宋_GB2312"/>
          <w:sz w:val="32"/>
          <w:szCs w:val="32"/>
        </w:rPr>
        <w:t>、年末结转和结余：指单位按有关规定结转到下年或以后年度继续使用的资金。</w:t>
      </w:r>
    </w:p>
    <w:p w14:paraId="6B85DE70">
      <w:pPr>
        <w:adjustRightInd w:val="0"/>
        <w:snapToGrid w:val="0"/>
        <w:spacing w:line="560" w:lineRule="exact"/>
        <w:ind w:firstLine="720"/>
        <w:rPr>
          <w:rFonts w:ascii="仿宋" w:hAnsi="仿宋" w:eastAsia="仿宋" w:cs="仿宋_GB2312"/>
          <w:sz w:val="32"/>
          <w:szCs w:val="32"/>
        </w:rPr>
      </w:pPr>
      <w:r>
        <w:rPr>
          <w:rFonts w:hint="eastAsia" w:ascii="仿宋" w:hAnsi="仿宋" w:eastAsia="仿宋" w:cs="仿宋_GB2312"/>
          <w:sz w:val="32"/>
          <w:szCs w:val="32"/>
        </w:rPr>
        <w:t>9</w:t>
      </w:r>
      <w:r>
        <w:rPr>
          <w:rFonts w:ascii="仿宋" w:hAnsi="仿宋" w:eastAsia="仿宋" w:cs="仿宋_GB2312"/>
          <w:sz w:val="32"/>
          <w:szCs w:val="32"/>
        </w:rPr>
        <w:t>.</w:t>
      </w:r>
      <w:r>
        <w:rPr>
          <w:rFonts w:hint="eastAsia" w:ascii="仿宋" w:hAnsi="仿宋" w:eastAsia="仿宋" w:cs="仿宋_GB2312"/>
          <w:sz w:val="32"/>
          <w:szCs w:val="32"/>
        </w:rPr>
        <w:t>教育（类）普通教育（款）中等职业学校（项）：指反映各部门举办的中等职业教育支出。</w:t>
      </w:r>
    </w:p>
    <w:p w14:paraId="195158F2">
      <w:pPr>
        <w:adjustRightInd w:val="0"/>
        <w:snapToGrid w:val="0"/>
        <w:spacing w:line="560" w:lineRule="exact"/>
        <w:ind w:firstLine="720"/>
        <w:rPr>
          <w:rFonts w:ascii="仿宋" w:hAnsi="仿宋" w:eastAsia="仿宋" w:cs="仿宋_GB2312"/>
          <w:sz w:val="32"/>
          <w:szCs w:val="32"/>
        </w:rPr>
      </w:pPr>
      <w:r>
        <w:rPr>
          <w:rFonts w:hint="eastAsia" w:ascii="仿宋" w:hAnsi="仿宋" w:eastAsia="仿宋" w:cs="仿宋_GB2312"/>
          <w:sz w:val="32"/>
          <w:szCs w:val="32"/>
        </w:rPr>
        <w:t>10</w:t>
      </w:r>
      <w:r>
        <w:rPr>
          <w:rFonts w:ascii="仿宋" w:hAnsi="仿宋" w:eastAsia="仿宋" w:cs="仿宋_GB2312"/>
          <w:sz w:val="32"/>
          <w:szCs w:val="32"/>
        </w:rPr>
        <w:t>.</w:t>
      </w:r>
      <w:r>
        <w:rPr>
          <w:rFonts w:hint="eastAsia" w:ascii="仿宋" w:hAnsi="仿宋" w:eastAsia="仿宋" w:cs="仿宋_GB2312"/>
          <w:sz w:val="32"/>
          <w:szCs w:val="32"/>
        </w:rPr>
        <w:t>社会保障和就业支出（类）行政事业单位养老支出（款）事业单位离退休（项）</w:t>
      </w:r>
      <w:r>
        <w:rPr>
          <w:rFonts w:ascii="仿宋" w:hAnsi="仿宋" w:eastAsia="仿宋" w:cs="仿宋_GB2312"/>
          <w:sz w:val="32"/>
          <w:szCs w:val="32"/>
        </w:rPr>
        <w:t xml:space="preserve">: </w:t>
      </w:r>
      <w:r>
        <w:rPr>
          <w:rFonts w:hint="eastAsia" w:ascii="仿宋" w:hAnsi="仿宋" w:eastAsia="仿宋" w:cs="仿宋_GB2312"/>
          <w:sz w:val="32"/>
          <w:szCs w:val="32"/>
        </w:rPr>
        <w:t>指事业单位离退休。</w:t>
      </w:r>
    </w:p>
    <w:p w14:paraId="2A190D16">
      <w:pPr>
        <w:adjustRightInd w:val="0"/>
        <w:snapToGrid w:val="0"/>
        <w:spacing w:line="560" w:lineRule="exact"/>
        <w:ind w:firstLine="720"/>
        <w:rPr>
          <w:rFonts w:ascii="仿宋" w:hAnsi="仿宋" w:eastAsia="仿宋" w:cs="仿宋_GB2312"/>
          <w:sz w:val="32"/>
          <w:szCs w:val="32"/>
        </w:rPr>
      </w:pPr>
      <w:r>
        <w:rPr>
          <w:rFonts w:hint="eastAsia" w:ascii="仿宋" w:hAnsi="仿宋" w:eastAsia="仿宋" w:cs="仿宋_GB2312"/>
          <w:sz w:val="32"/>
          <w:szCs w:val="32"/>
        </w:rPr>
        <w:t>11</w:t>
      </w:r>
      <w:r>
        <w:rPr>
          <w:rFonts w:ascii="仿宋" w:hAnsi="仿宋" w:eastAsia="仿宋" w:cs="仿宋_GB2312"/>
          <w:sz w:val="32"/>
          <w:szCs w:val="32"/>
        </w:rPr>
        <w:t>.</w:t>
      </w:r>
      <w:r>
        <w:rPr>
          <w:rFonts w:hint="eastAsia" w:ascii="仿宋" w:hAnsi="仿宋" w:eastAsia="仿宋" w:cs="仿宋_GB2312"/>
          <w:sz w:val="32"/>
          <w:szCs w:val="32"/>
        </w:rPr>
        <w:t>社会保障和就业支出（类）行政事业单位养老支出（款）机关事业单位基本养老保险缴费支出（项）</w:t>
      </w:r>
      <w:r>
        <w:rPr>
          <w:rFonts w:ascii="仿宋" w:hAnsi="仿宋" w:eastAsia="仿宋" w:cs="仿宋_GB2312"/>
          <w:sz w:val="32"/>
          <w:szCs w:val="32"/>
        </w:rPr>
        <w:t>:</w:t>
      </w:r>
      <w:r>
        <w:rPr>
          <w:rFonts w:hint="eastAsia" w:ascii="仿宋" w:hAnsi="仿宋" w:eastAsia="仿宋" w:cs="仿宋_GB2312"/>
          <w:sz w:val="32"/>
          <w:szCs w:val="32"/>
        </w:rPr>
        <w:t xml:space="preserve"> 指机关事业单位基本养老保险缴费支出。</w:t>
      </w:r>
    </w:p>
    <w:p w14:paraId="6246422C">
      <w:pPr>
        <w:adjustRightInd w:val="0"/>
        <w:snapToGrid w:val="0"/>
        <w:spacing w:line="560" w:lineRule="exact"/>
        <w:ind w:firstLine="720"/>
        <w:rPr>
          <w:rFonts w:ascii="仿宋" w:hAnsi="仿宋" w:eastAsia="仿宋" w:cs="仿宋_GB2312"/>
          <w:sz w:val="32"/>
          <w:szCs w:val="32"/>
        </w:rPr>
      </w:pPr>
      <w:r>
        <w:rPr>
          <w:rFonts w:hint="eastAsia" w:ascii="仿宋" w:hAnsi="仿宋" w:eastAsia="仿宋" w:cs="仿宋_GB2312"/>
          <w:sz w:val="32"/>
          <w:szCs w:val="32"/>
        </w:rPr>
        <w:t>12</w:t>
      </w:r>
      <w:r>
        <w:rPr>
          <w:rFonts w:ascii="仿宋" w:hAnsi="仿宋" w:eastAsia="仿宋" w:cs="仿宋_GB2312"/>
          <w:sz w:val="32"/>
          <w:szCs w:val="32"/>
        </w:rPr>
        <w:t>.</w:t>
      </w:r>
      <w:r>
        <w:rPr>
          <w:rFonts w:hint="eastAsia" w:ascii="仿宋" w:hAnsi="仿宋" w:eastAsia="仿宋" w:cs="仿宋_GB2312"/>
          <w:sz w:val="32"/>
          <w:szCs w:val="32"/>
        </w:rPr>
        <w:t>社会保障和就业支出（类）行政事业单位养老支出（款） 机关事业单位职业年金缴费支出（项）</w:t>
      </w:r>
      <w:r>
        <w:rPr>
          <w:rFonts w:ascii="仿宋" w:hAnsi="仿宋" w:eastAsia="仿宋" w:cs="仿宋_GB2312"/>
          <w:sz w:val="32"/>
          <w:szCs w:val="32"/>
        </w:rPr>
        <w:t xml:space="preserve">: </w:t>
      </w:r>
      <w:r>
        <w:rPr>
          <w:rFonts w:hint="eastAsia" w:ascii="仿宋" w:hAnsi="仿宋" w:eastAsia="仿宋" w:cs="仿宋_GB2312"/>
          <w:sz w:val="32"/>
          <w:szCs w:val="32"/>
        </w:rPr>
        <w:t>指机关事业单位职业年金缴费支出</w:t>
      </w:r>
    </w:p>
    <w:p w14:paraId="39867BCA">
      <w:pPr>
        <w:adjustRightInd w:val="0"/>
        <w:snapToGrid w:val="0"/>
        <w:spacing w:line="560" w:lineRule="exact"/>
        <w:ind w:firstLine="720"/>
        <w:rPr>
          <w:rFonts w:ascii="仿宋" w:hAnsi="仿宋" w:eastAsia="仿宋" w:cs="仿宋_GB2312"/>
          <w:sz w:val="32"/>
          <w:szCs w:val="32"/>
        </w:rPr>
      </w:pPr>
      <w:r>
        <w:rPr>
          <w:rFonts w:hint="eastAsia" w:ascii="仿宋" w:hAnsi="仿宋" w:eastAsia="仿宋" w:cs="仿宋_GB2312"/>
          <w:sz w:val="32"/>
          <w:szCs w:val="32"/>
        </w:rPr>
        <w:t>13</w:t>
      </w:r>
      <w:r>
        <w:rPr>
          <w:rFonts w:ascii="仿宋" w:hAnsi="仿宋" w:eastAsia="仿宋" w:cs="仿宋_GB2312"/>
          <w:sz w:val="32"/>
          <w:szCs w:val="32"/>
        </w:rPr>
        <w:t>.</w:t>
      </w:r>
      <w:r>
        <w:rPr>
          <w:rFonts w:hint="eastAsia" w:ascii="仿宋" w:hAnsi="仿宋" w:eastAsia="仿宋" w:cs="仿宋_GB2312"/>
          <w:sz w:val="32"/>
          <w:szCs w:val="32"/>
        </w:rPr>
        <w:t>社会保障和就业支出（类）抚恤（款）伤残抚恤（项）</w:t>
      </w:r>
      <w:r>
        <w:rPr>
          <w:rFonts w:ascii="仿宋" w:hAnsi="仿宋" w:eastAsia="仿宋" w:cs="仿宋_GB2312"/>
          <w:sz w:val="32"/>
          <w:szCs w:val="32"/>
        </w:rPr>
        <w:t>:</w:t>
      </w:r>
      <w:r>
        <w:rPr>
          <w:rFonts w:hint="eastAsia" w:ascii="仿宋" w:hAnsi="仿宋" w:eastAsia="仿宋" w:cs="仿宋_GB2312"/>
          <w:sz w:val="32"/>
          <w:szCs w:val="32"/>
        </w:rPr>
        <w:t xml:space="preserve"> 指伤残抚恤。</w:t>
      </w:r>
    </w:p>
    <w:p w14:paraId="076B1AC4">
      <w:pPr>
        <w:adjustRightInd w:val="0"/>
        <w:snapToGrid w:val="0"/>
        <w:spacing w:line="560" w:lineRule="exact"/>
        <w:ind w:firstLine="720"/>
        <w:rPr>
          <w:rFonts w:ascii="仿宋" w:hAnsi="仿宋" w:eastAsia="仿宋" w:cs="仿宋_GB2312"/>
          <w:sz w:val="32"/>
          <w:szCs w:val="32"/>
        </w:rPr>
      </w:pPr>
      <w:r>
        <w:rPr>
          <w:rFonts w:hint="eastAsia" w:ascii="仿宋" w:hAnsi="仿宋" w:eastAsia="仿宋" w:cs="仿宋_GB2312"/>
          <w:sz w:val="32"/>
          <w:szCs w:val="32"/>
        </w:rPr>
        <w:t>14</w:t>
      </w:r>
      <w:r>
        <w:rPr>
          <w:rFonts w:ascii="仿宋" w:hAnsi="仿宋" w:eastAsia="仿宋" w:cs="仿宋_GB2312"/>
          <w:sz w:val="32"/>
          <w:szCs w:val="32"/>
        </w:rPr>
        <w:t>.</w:t>
      </w:r>
      <w:r>
        <w:rPr>
          <w:rFonts w:hint="eastAsia" w:ascii="仿宋" w:hAnsi="仿宋" w:eastAsia="仿宋" w:cs="仿宋_GB2312"/>
          <w:sz w:val="32"/>
          <w:szCs w:val="32"/>
        </w:rPr>
        <w:t>卫生健康支出（类）行政事业单位医疗（款）事业单位医疗（项）</w:t>
      </w:r>
      <w:r>
        <w:rPr>
          <w:rFonts w:ascii="仿宋" w:hAnsi="仿宋" w:eastAsia="仿宋" w:cs="仿宋_GB2312"/>
          <w:sz w:val="32"/>
          <w:szCs w:val="32"/>
        </w:rPr>
        <w:t>:</w:t>
      </w:r>
      <w:r>
        <w:rPr>
          <w:rFonts w:hint="eastAsia" w:ascii="仿宋" w:hAnsi="仿宋" w:eastAsia="仿宋" w:cs="仿宋_GB2312"/>
          <w:sz w:val="32"/>
          <w:szCs w:val="32"/>
        </w:rPr>
        <w:t xml:space="preserve"> 指事业单位医疗。</w:t>
      </w:r>
    </w:p>
    <w:p w14:paraId="363B63D4">
      <w:pPr>
        <w:adjustRightInd w:val="0"/>
        <w:snapToGrid w:val="0"/>
        <w:spacing w:line="560" w:lineRule="exact"/>
        <w:ind w:firstLine="720"/>
        <w:rPr>
          <w:rFonts w:ascii="仿宋" w:hAnsi="仿宋" w:eastAsia="仿宋" w:cs="仿宋_GB2312"/>
          <w:sz w:val="32"/>
          <w:szCs w:val="32"/>
        </w:rPr>
      </w:pPr>
      <w:r>
        <w:rPr>
          <w:rFonts w:hint="eastAsia" w:ascii="仿宋" w:hAnsi="仿宋" w:eastAsia="仿宋" w:cs="仿宋_GB2312"/>
          <w:sz w:val="32"/>
          <w:szCs w:val="32"/>
        </w:rPr>
        <w:t>15</w:t>
      </w:r>
      <w:r>
        <w:rPr>
          <w:rFonts w:ascii="仿宋" w:hAnsi="仿宋" w:eastAsia="仿宋" w:cs="仿宋_GB2312"/>
          <w:sz w:val="32"/>
          <w:szCs w:val="32"/>
        </w:rPr>
        <w:t>.</w:t>
      </w:r>
      <w:r>
        <w:rPr>
          <w:rFonts w:hint="eastAsia" w:ascii="仿宋" w:hAnsi="仿宋" w:eastAsia="仿宋" w:cs="仿宋_GB2312"/>
          <w:sz w:val="32"/>
          <w:szCs w:val="32"/>
        </w:rPr>
        <w:t>卫生健康支出（类）行政事业单位医疗（款）其他行政事业单位医疗支出（项）</w:t>
      </w:r>
      <w:r>
        <w:rPr>
          <w:rFonts w:ascii="仿宋" w:hAnsi="仿宋" w:eastAsia="仿宋" w:cs="仿宋_GB2312"/>
          <w:sz w:val="32"/>
          <w:szCs w:val="32"/>
        </w:rPr>
        <w:t>:</w:t>
      </w:r>
      <w:r>
        <w:rPr>
          <w:rFonts w:hint="eastAsia" w:ascii="仿宋" w:hAnsi="仿宋" w:eastAsia="仿宋" w:cs="仿宋_GB2312"/>
          <w:sz w:val="32"/>
          <w:szCs w:val="32"/>
        </w:rPr>
        <w:t xml:space="preserve"> 指其他行政事业单位医疗支出。</w:t>
      </w:r>
    </w:p>
    <w:p w14:paraId="388F5CD6">
      <w:pPr>
        <w:adjustRightInd w:val="0"/>
        <w:snapToGrid w:val="0"/>
        <w:spacing w:line="560" w:lineRule="exact"/>
        <w:ind w:firstLine="720"/>
        <w:rPr>
          <w:rFonts w:ascii="仿宋" w:hAnsi="仿宋" w:eastAsia="仿宋" w:cs="仿宋_GB2312"/>
          <w:sz w:val="32"/>
          <w:szCs w:val="32"/>
        </w:rPr>
      </w:pPr>
      <w:r>
        <w:rPr>
          <w:rFonts w:hint="eastAsia" w:ascii="仿宋" w:hAnsi="仿宋" w:eastAsia="仿宋" w:cs="仿宋_GB2312"/>
          <w:sz w:val="32"/>
          <w:szCs w:val="32"/>
        </w:rPr>
        <w:t>16.住房保障支出（类）住房改革支出（款）住房公积金（项）：指住房公积金。</w:t>
      </w:r>
    </w:p>
    <w:p w14:paraId="178F404A">
      <w:pPr>
        <w:adjustRightInd w:val="0"/>
        <w:snapToGrid w:val="0"/>
        <w:spacing w:line="560" w:lineRule="exact"/>
        <w:ind w:firstLine="720"/>
        <w:rPr>
          <w:rFonts w:ascii="仿宋" w:hAnsi="仿宋" w:eastAsia="仿宋" w:cs="仿宋_GB2312"/>
          <w:sz w:val="32"/>
          <w:szCs w:val="32"/>
        </w:rPr>
      </w:pPr>
      <w:r>
        <w:rPr>
          <w:rFonts w:hint="eastAsia" w:ascii="仿宋" w:hAnsi="仿宋" w:eastAsia="仿宋" w:cs="仿宋_GB2312"/>
          <w:sz w:val="32"/>
          <w:szCs w:val="32"/>
        </w:rPr>
        <w:t>1</w:t>
      </w:r>
      <w:r>
        <w:rPr>
          <w:rFonts w:ascii="仿宋" w:hAnsi="仿宋" w:eastAsia="仿宋" w:cs="仿宋_GB2312"/>
          <w:sz w:val="32"/>
          <w:szCs w:val="32"/>
        </w:rPr>
        <w:t>7.</w:t>
      </w:r>
      <w:r>
        <w:rPr>
          <w:rFonts w:hint="eastAsia" w:ascii="仿宋" w:hAnsi="仿宋" w:eastAsia="仿宋" w:cs="仿宋_GB2312"/>
          <w:sz w:val="32"/>
          <w:szCs w:val="32"/>
        </w:rPr>
        <w:t>基本支出：指为保障机构正常运转、完成日常工作任务而发生的人员支出和公用支出。</w:t>
      </w:r>
    </w:p>
    <w:p w14:paraId="55ADD4C3">
      <w:pPr>
        <w:adjustRightInd w:val="0"/>
        <w:snapToGrid w:val="0"/>
        <w:spacing w:line="560" w:lineRule="exact"/>
        <w:ind w:firstLine="720"/>
        <w:rPr>
          <w:rFonts w:ascii="仿宋" w:hAnsi="仿宋" w:eastAsia="仿宋" w:cs="仿宋_GB2312"/>
          <w:sz w:val="32"/>
          <w:szCs w:val="32"/>
        </w:rPr>
      </w:pPr>
      <w:r>
        <w:rPr>
          <w:rFonts w:hint="eastAsia" w:ascii="仿宋" w:hAnsi="仿宋" w:eastAsia="仿宋" w:cs="仿宋_GB2312"/>
          <w:sz w:val="32"/>
          <w:szCs w:val="32"/>
        </w:rPr>
        <w:t>1</w:t>
      </w:r>
      <w:r>
        <w:rPr>
          <w:rFonts w:ascii="仿宋" w:hAnsi="仿宋" w:eastAsia="仿宋" w:cs="仿宋_GB2312"/>
          <w:sz w:val="32"/>
          <w:szCs w:val="32"/>
        </w:rPr>
        <w:t>8.</w:t>
      </w:r>
      <w:r>
        <w:rPr>
          <w:rFonts w:hint="eastAsia" w:ascii="仿宋" w:hAnsi="仿宋" w:eastAsia="仿宋" w:cs="仿宋_GB2312"/>
          <w:sz w:val="32"/>
          <w:szCs w:val="32"/>
        </w:rPr>
        <w:t>项目支出：指在基本支出之外为完成特定行政任务和事业发展目标所发生的支出。</w:t>
      </w:r>
      <w:r>
        <w:rPr>
          <w:rFonts w:ascii="仿宋" w:hAnsi="仿宋" w:eastAsia="仿宋" w:cs="仿宋_GB2312"/>
          <w:sz w:val="32"/>
          <w:szCs w:val="32"/>
        </w:rPr>
        <w:t xml:space="preserve"> </w:t>
      </w:r>
    </w:p>
    <w:p w14:paraId="2B5EDE3F">
      <w:pPr>
        <w:keepNext w:val="0"/>
        <w:keepLines w:val="0"/>
        <w:pageBreakBefore w:val="0"/>
        <w:widowControl w:val="0"/>
        <w:kinsoku/>
        <w:wordWrap/>
        <w:overflowPunct/>
        <w:topLinePunct w:val="0"/>
        <w:autoSpaceDE/>
        <w:autoSpaceDN/>
        <w:bidi w:val="0"/>
        <w:adjustRightInd w:val="0"/>
        <w:snapToGrid w:val="0"/>
        <w:spacing w:line="520" w:lineRule="exact"/>
        <w:ind w:firstLine="720"/>
        <w:textAlignment w:val="auto"/>
        <w:rPr>
          <w:rFonts w:ascii="仿宋_GB2312" w:hAnsi="Times New Roman" w:eastAsia="仿宋_GB2312"/>
          <w:sz w:val="32"/>
          <w:szCs w:val="32"/>
        </w:rPr>
      </w:pPr>
      <w:r>
        <w:rPr>
          <w:rFonts w:hint="eastAsia" w:ascii="仿宋" w:hAnsi="仿宋" w:eastAsia="仿宋" w:cs="仿宋_GB2312"/>
          <w:sz w:val="32"/>
          <w:szCs w:val="32"/>
        </w:rPr>
        <w:t>19</w:t>
      </w:r>
      <w:r>
        <w:rPr>
          <w:rFonts w:ascii="仿宋" w:hAnsi="仿宋" w:eastAsia="仿宋" w:cs="仿宋_GB2312"/>
          <w:sz w:val="32"/>
          <w:szCs w:val="32"/>
        </w:rPr>
        <w:t>.</w:t>
      </w:r>
      <w:r>
        <w:rPr>
          <w:rFonts w:hint="eastAsia" w:ascii="仿宋" w:hAnsi="仿宋" w:eastAsia="仿宋" w:cs="仿宋_GB2312"/>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支出。</w:t>
      </w:r>
    </w:p>
    <w:p w14:paraId="22B078F8">
      <w:pPr>
        <w:spacing w:line="600" w:lineRule="exact"/>
        <w:jc w:val="center"/>
        <w:outlineLvl w:val="0"/>
        <w:rPr>
          <w:rStyle w:val="31"/>
          <w:rFonts w:hint="eastAsia" w:ascii="Times New Roman" w:hAnsi="Times New Roman" w:eastAsia="黑体"/>
          <w:b w:val="0"/>
          <w:color w:val="auto"/>
          <w:highlight w:val="none"/>
          <w:lang w:eastAsia="zh-CN"/>
        </w:rPr>
      </w:pPr>
      <w:r>
        <w:rPr>
          <w:rFonts w:hint="eastAsia" w:ascii="Times New Roman" w:hAnsi="Times New Roman" w:eastAsia="仿宋_GB2312" w:cs="仿宋_GB2312"/>
          <w:color w:val="auto"/>
          <w:kern w:val="2"/>
          <w:sz w:val="32"/>
          <w:szCs w:val="32"/>
          <w:highlight w:val="none"/>
          <w:lang w:val="en-US" w:eastAsia="zh-CN" w:bidi="ar-SA"/>
        </w:rPr>
        <w:br w:type="page"/>
      </w:r>
      <w:bookmarkStart w:id="45" w:name="_Toc15396614"/>
      <w:r>
        <w:rPr>
          <w:rFonts w:hint="eastAsia" w:ascii="Times New Roman" w:hAnsi="Times New Roman" w:eastAsia="黑体"/>
          <w:color w:val="auto"/>
          <w:sz w:val="44"/>
          <w:szCs w:val="44"/>
          <w:highlight w:val="none"/>
        </w:rPr>
        <w:t>第四部分</w:t>
      </w:r>
      <w:r>
        <w:rPr>
          <w:rFonts w:hint="eastAsia" w:ascii="Times New Roman" w:hAnsi="Times New Roman" w:eastAsia="黑体"/>
          <w:color w:val="auto"/>
          <w:sz w:val="44"/>
          <w:szCs w:val="44"/>
          <w:highlight w:val="none"/>
          <w:lang w:val="en-US" w:eastAsia="zh-CN"/>
        </w:rPr>
        <w:t xml:space="preserve"> </w:t>
      </w:r>
      <w:r>
        <w:rPr>
          <w:rFonts w:hint="eastAsia" w:ascii="Times New Roman" w:hAnsi="Times New Roman" w:eastAsia="黑体"/>
          <w:color w:val="auto"/>
          <w:sz w:val="44"/>
          <w:szCs w:val="44"/>
          <w:highlight w:val="none"/>
        </w:rPr>
        <w:t xml:space="preserve"> 附件</w:t>
      </w:r>
      <w:bookmarkEnd w:id="45"/>
    </w:p>
    <w:p w14:paraId="5CB00AD1">
      <w:pPr>
        <w:keepNext w:val="0"/>
        <w:keepLines w:val="0"/>
        <w:pageBreakBefore w:val="0"/>
        <w:kinsoku/>
        <w:wordWrap/>
        <w:overflowPunct/>
        <w:topLinePunct w:val="0"/>
        <w:autoSpaceDE/>
        <w:autoSpaceDN/>
        <w:bidi w:val="0"/>
        <w:spacing w:line="572" w:lineRule="exact"/>
        <w:jc w:val="left"/>
        <w:textAlignment w:val="auto"/>
        <w:outlineLvl w:val="9"/>
        <w:rPr>
          <w:rFonts w:hint="eastAsia" w:ascii="Times New Roman" w:hAnsi="Times New Roman" w:eastAsia="黑体" w:cs="黑体"/>
          <w:color w:val="FF0000"/>
          <w:sz w:val="32"/>
          <w:szCs w:val="32"/>
          <w:highlight w:val="none"/>
        </w:rPr>
      </w:pPr>
    </w:p>
    <w:p w14:paraId="153F4AB8">
      <w:pPr>
        <w:keepNext w:val="0"/>
        <w:keepLines w:val="0"/>
        <w:pageBreakBefore w:val="0"/>
        <w:kinsoku/>
        <w:wordWrap/>
        <w:overflowPunct/>
        <w:topLinePunct w:val="0"/>
        <w:autoSpaceDE/>
        <w:autoSpaceDN/>
        <w:bidi w:val="0"/>
        <w:spacing w:line="572" w:lineRule="exact"/>
        <w:jc w:val="left"/>
        <w:textAlignment w:val="auto"/>
        <w:outlineLvl w:val="0"/>
        <w:rPr>
          <w:rFonts w:hint="eastAsia" w:ascii="Times New Roman" w:hAnsi="Times New Roman" w:eastAsia="黑体" w:cs="方正小标宋简体"/>
          <w:color w:val="auto"/>
          <w:sz w:val="44"/>
          <w:szCs w:val="44"/>
          <w:highlight w:val="none"/>
          <w:lang w:val="en-US" w:eastAsia="zh-CN"/>
        </w:rPr>
      </w:pPr>
      <w:r>
        <w:rPr>
          <w:rFonts w:hint="eastAsia" w:ascii="Times New Roman" w:hAnsi="Times New Roman" w:eastAsia="黑体" w:cs="黑体"/>
          <w:color w:val="auto"/>
          <w:sz w:val="32"/>
          <w:szCs w:val="32"/>
          <w:highlight w:val="none"/>
        </w:rPr>
        <w:t>附件</w:t>
      </w:r>
      <w:r>
        <w:rPr>
          <w:rFonts w:hint="eastAsia" w:ascii="Times New Roman" w:hAnsi="Times New Roman" w:eastAsia="黑体" w:cs="黑体"/>
          <w:color w:val="auto"/>
          <w:sz w:val="32"/>
          <w:szCs w:val="32"/>
          <w:highlight w:val="none"/>
          <w:lang w:val="en-US" w:eastAsia="zh-CN"/>
        </w:rPr>
        <w:t>1</w:t>
      </w:r>
    </w:p>
    <w:p w14:paraId="7BD2B024">
      <w:pPr>
        <w:keepNext w:val="0"/>
        <w:keepLines w:val="0"/>
        <w:pageBreakBefore w:val="0"/>
        <w:widowControl/>
        <w:kinsoku/>
        <w:wordWrap/>
        <w:overflowPunct/>
        <w:topLinePunct w:val="0"/>
        <w:autoSpaceDE/>
        <w:autoSpaceDN/>
        <w:bidi w:val="0"/>
        <w:spacing w:line="578" w:lineRule="exact"/>
        <w:contextualSpacing/>
        <w:jc w:val="center"/>
        <w:textAlignment w:val="auto"/>
        <w:outlineLvl w:val="9"/>
        <w:rPr>
          <w:rFonts w:hint="default" w:ascii="Times New Roman" w:hAnsi="Times New Roman" w:eastAsia="方正小标宋简体" w:cs="Times New Roman"/>
          <w:b w:val="0"/>
          <w:bCs/>
          <w:sz w:val="44"/>
          <w:szCs w:val="44"/>
          <w:highlight w:val="none"/>
          <w:shd w:val="clear" w:color="auto" w:fill="FFFFFF"/>
        </w:rPr>
      </w:pPr>
    </w:p>
    <w:p w14:paraId="060921B3">
      <w:pPr>
        <w:widowControl/>
        <w:spacing w:line="578" w:lineRule="exact"/>
        <w:contextualSpacing/>
        <w:rPr>
          <w:rFonts w:eastAsia="宋体"/>
          <w:b/>
          <w:sz w:val="44"/>
          <w:szCs w:val="44"/>
          <w:shd w:val="clear" w:color="auto" w:fill="FFFFFF"/>
        </w:rPr>
      </w:pPr>
    </w:p>
    <w:p w14:paraId="00DD914F">
      <w:pPr>
        <w:widowControl/>
        <w:spacing w:line="578" w:lineRule="exact"/>
        <w:contextualSpacing/>
        <w:jc w:val="center"/>
        <w:rPr>
          <w:rFonts w:hint="eastAsia" w:eastAsia="方正小标宋简体"/>
          <w:bCs/>
          <w:sz w:val="44"/>
          <w:szCs w:val="44"/>
          <w:shd w:val="clear" w:color="auto" w:fill="FFFFFF"/>
          <w:lang w:val="en-US" w:eastAsia="zh-CN"/>
        </w:rPr>
      </w:pPr>
      <w:r>
        <w:rPr>
          <w:rFonts w:hint="eastAsia" w:eastAsia="方正小标宋简体"/>
          <w:bCs/>
          <w:sz w:val="44"/>
          <w:szCs w:val="44"/>
          <w:shd w:val="clear" w:color="auto" w:fill="FFFFFF"/>
          <w:lang w:val="en-US" w:eastAsia="zh-CN"/>
        </w:rPr>
        <w:t>凉山州农业学校</w:t>
      </w:r>
    </w:p>
    <w:p w14:paraId="7F29E5D3">
      <w:pPr>
        <w:widowControl/>
        <w:spacing w:line="578" w:lineRule="exact"/>
        <w:contextualSpacing/>
        <w:jc w:val="center"/>
        <w:rPr>
          <w:rFonts w:eastAsia="方正小标宋简体"/>
          <w:bCs/>
          <w:sz w:val="44"/>
          <w:szCs w:val="44"/>
          <w:shd w:val="clear" w:color="auto" w:fill="FFFFFF"/>
        </w:rPr>
      </w:pPr>
      <w:r>
        <w:rPr>
          <w:rFonts w:hint="eastAsia" w:eastAsia="方正小标宋简体"/>
          <w:bCs/>
          <w:sz w:val="44"/>
          <w:szCs w:val="44"/>
          <w:shd w:val="clear" w:color="auto" w:fill="FFFFFF"/>
          <w:lang w:val="en-US" w:eastAsia="zh-CN"/>
        </w:rPr>
        <w:t>2024年</w:t>
      </w:r>
      <w:r>
        <w:rPr>
          <w:rFonts w:eastAsia="方正小标宋简体"/>
          <w:bCs/>
          <w:sz w:val="44"/>
          <w:szCs w:val="44"/>
          <w:shd w:val="clear" w:color="auto" w:fill="FFFFFF"/>
        </w:rPr>
        <w:t>预算绩效</w:t>
      </w:r>
      <w:r>
        <w:rPr>
          <w:rFonts w:hint="eastAsia" w:eastAsia="方正小标宋简体"/>
          <w:bCs/>
          <w:sz w:val="44"/>
          <w:szCs w:val="44"/>
          <w:shd w:val="clear" w:color="auto" w:fill="FFFFFF"/>
        </w:rPr>
        <w:t>自评</w:t>
      </w:r>
      <w:r>
        <w:rPr>
          <w:rFonts w:eastAsia="方正小标宋简体"/>
          <w:bCs/>
          <w:sz w:val="44"/>
          <w:szCs w:val="44"/>
          <w:shd w:val="clear" w:color="auto" w:fill="FFFFFF"/>
        </w:rPr>
        <w:t>报告</w:t>
      </w:r>
    </w:p>
    <w:p w14:paraId="65A5CD49">
      <w:pPr>
        <w:keepNext w:val="0"/>
        <w:keepLines w:val="0"/>
        <w:pageBreakBefore w:val="0"/>
        <w:widowControl/>
        <w:kinsoku/>
        <w:wordWrap/>
        <w:overflowPunct/>
        <w:topLinePunct w:val="0"/>
        <w:autoSpaceDE/>
        <w:autoSpaceDN/>
        <w:bidi w:val="0"/>
        <w:adjustRightInd w:val="0"/>
        <w:snapToGrid w:val="0"/>
        <w:spacing w:line="578" w:lineRule="exact"/>
        <w:ind w:firstLine="480" w:firstLineChars="200"/>
        <w:contextualSpacing/>
        <w:jc w:val="left"/>
        <w:textAlignment w:val="auto"/>
        <w:outlineLvl w:val="9"/>
        <w:rPr>
          <w:rFonts w:hint="default" w:ascii="Times New Roman" w:hAnsi="Times New Roman" w:eastAsia="黑体" w:cs="Times New Roman"/>
          <w:color w:val="000000"/>
          <w:kern w:val="0"/>
          <w:sz w:val="24"/>
          <w:szCs w:val="32"/>
          <w:highlight w:val="none"/>
          <w:shd w:val="clear" w:color="auto" w:fill="FFFFFF"/>
        </w:rPr>
      </w:pPr>
    </w:p>
    <w:p w14:paraId="3D3F8BAD">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000000"/>
          <w:kern w:val="0"/>
          <w:sz w:val="32"/>
          <w:szCs w:val="32"/>
          <w:highlight w:val="none"/>
          <w:shd w:val="clear" w:color="auto" w:fill="FFFFFF"/>
          <w:lang w:val="zh-CN"/>
        </w:rPr>
      </w:pPr>
      <w:r>
        <w:rPr>
          <w:rFonts w:hint="eastAsia" w:ascii="Times New Roman" w:hAnsi="Times New Roman" w:eastAsia="黑体" w:cs="Times New Roman"/>
          <w:color w:val="000000"/>
          <w:kern w:val="0"/>
          <w:sz w:val="32"/>
          <w:szCs w:val="32"/>
          <w:highlight w:val="none"/>
          <w:shd w:val="clear" w:color="auto" w:fill="FFFFFF"/>
          <w:lang w:val="zh-CN"/>
        </w:rPr>
        <w:t>一、</w:t>
      </w:r>
      <w:r>
        <w:rPr>
          <w:rFonts w:hint="default" w:ascii="Times New Roman" w:hAnsi="Times New Roman" w:eastAsia="黑体" w:cs="Times New Roman"/>
          <w:color w:val="000000"/>
          <w:kern w:val="0"/>
          <w:sz w:val="32"/>
          <w:szCs w:val="32"/>
          <w:highlight w:val="none"/>
          <w:shd w:val="clear" w:color="auto" w:fill="FFFFFF"/>
          <w:lang w:val="zh-CN"/>
        </w:rPr>
        <w:t>部门（单位）基本情况</w:t>
      </w:r>
    </w:p>
    <w:p w14:paraId="350FA92E">
      <w:pPr>
        <w:widowControl/>
        <w:adjustRightInd w:val="0"/>
        <w:snapToGrid w:val="0"/>
        <w:spacing w:line="580" w:lineRule="exact"/>
        <w:ind w:firstLine="643" w:firstLineChars="200"/>
        <w:contextualSpacing/>
        <w:jc w:val="left"/>
        <w:rPr>
          <w:rFonts w:hint="default" w:ascii="Times New Roman" w:hAnsi="Times New Roman" w:eastAsia="楷体_GB2312" w:cs="楷体_GB2312"/>
          <w:b/>
          <w:color w:val="auto"/>
          <w:sz w:val="32"/>
          <w:szCs w:val="32"/>
          <w:highlight w:val="none"/>
          <w:lang w:val="zh-CN"/>
        </w:rPr>
      </w:pPr>
      <w:r>
        <w:rPr>
          <w:rFonts w:hint="eastAsia" w:ascii="Times New Roman" w:hAnsi="Times New Roman" w:eastAsia="楷体_GB2312" w:cs="楷体_GB2312"/>
          <w:b/>
          <w:color w:val="auto"/>
          <w:sz w:val="32"/>
          <w:szCs w:val="32"/>
          <w:highlight w:val="none"/>
          <w:lang w:val="zh-CN"/>
        </w:rPr>
        <w:t>（一）</w:t>
      </w:r>
      <w:r>
        <w:rPr>
          <w:rFonts w:hint="default" w:ascii="Times New Roman" w:hAnsi="Times New Roman" w:eastAsia="楷体_GB2312" w:cs="楷体_GB2312"/>
          <w:b/>
          <w:color w:val="auto"/>
          <w:sz w:val="32"/>
          <w:szCs w:val="32"/>
          <w:highlight w:val="none"/>
          <w:lang w:val="zh-CN"/>
        </w:rPr>
        <w:t>机构组成。</w:t>
      </w:r>
    </w:p>
    <w:p w14:paraId="05E9E1CF">
      <w:pPr>
        <w:widowControl/>
        <w:adjustRightInd w:val="0"/>
        <w:snapToGrid w:val="0"/>
        <w:spacing w:line="580" w:lineRule="exact"/>
        <w:ind w:firstLine="640" w:firstLineChars="200"/>
        <w:contextualSpacing/>
        <w:jc w:val="left"/>
        <w:rPr>
          <w:rFonts w:hint="default" w:ascii="Times New Roman" w:hAnsi="Times New Roman" w:eastAsia="楷体_GB2312" w:cs="楷体_GB2312"/>
          <w:b/>
          <w:color w:val="auto"/>
          <w:sz w:val="32"/>
          <w:szCs w:val="32"/>
          <w:highlight w:val="none"/>
          <w:lang w:val="zh-CN"/>
        </w:rPr>
      </w:pPr>
      <w:r>
        <w:rPr>
          <w:rFonts w:hint="eastAsia" w:ascii="仿宋" w:hAnsi="仿宋" w:eastAsia="仿宋" w:cs="宋体"/>
          <w:color w:val="000000"/>
          <w:kern w:val="0"/>
          <w:sz w:val="32"/>
          <w:szCs w:val="32"/>
          <w:shd w:val="clear" w:color="auto" w:fill="FFFFFF"/>
        </w:rPr>
        <w:t>凉山州农业学校是凉山州教育和体育局主管的全额拨款、正县级事业单位，是经省政府批准、省教育厅备案的国有公办农业中专学校，是目前省内唯一的一所农业综合中等职业学校，设有农林牧专业部、基础部、综合部、实训部4个专业部，现开设有畜牧兽医、农学、林业生产技术、机电技术应用、高星级饭店运营与管理、汽车应用与维修、会计事务、运动训练等13个专业，其中，省级重点专业3个（畜牧兽医、农学、机电），地市级重点（特色）专业3个。</w:t>
      </w:r>
      <w:r>
        <w:rPr>
          <w:rFonts w:hint="eastAsia" w:ascii="仿宋" w:hAnsi="仿宋" w:eastAsia="仿宋" w:cs="宋体"/>
          <w:color w:val="000000"/>
          <w:kern w:val="0"/>
          <w:sz w:val="32"/>
          <w:szCs w:val="32"/>
          <w:shd w:val="clear" w:color="auto" w:fill="FFFFFF"/>
          <w:lang w:val="en-US" w:eastAsia="zh-CN"/>
        </w:rPr>
        <w:t>内设10个职能科室，分别为：</w:t>
      </w:r>
      <w:r>
        <w:rPr>
          <w:rFonts w:hint="eastAsia" w:ascii="仿宋" w:hAnsi="仿宋" w:eastAsia="仿宋" w:cs="宋体"/>
          <w:color w:val="000000"/>
          <w:kern w:val="0"/>
          <w:sz w:val="32"/>
          <w:szCs w:val="32"/>
          <w:shd w:val="clear" w:color="auto" w:fill="FFFFFF"/>
        </w:rPr>
        <w:t>办公室、</w:t>
      </w:r>
      <w:r>
        <w:rPr>
          <w:rFonts w:hint="eastAsia" w:ascii="仿宋" w:hAnsi="仿宋" w:eastAsia="仿宋" w:cs="宋体"/>
          <w:color w:val="000000"/>
          <w:kern w:val="0"/>
          <w:sz w:val="32"/>
          <w:szCs w:val="32"/>
          <w:shd w:val="clear" w:color="auto" w:fill="FFFFFF"/>
          <w:lang w:val="en-US" w:eastAsia="zh-CN"/>
        </w:rPr>
        <w:t>纪检监察室、</w:t>
      </w:r>
      <w:r>
        <w:rPr>
          <w:rFonts w:hint="eastAsia" w:ascii="仿宋" w:hAnsi="仿宋" w:eastAsia="仿宋" w:cs="宋体"/>
          <w:color w:val="000000"/>
          <w:kern w:val="0"/>
          <w:sz w:val="32"/>
          <w:szCs w:val="32"/>
          <w:shd w:val="clear" w:color="auto" w:fill="FFFFFF"/>
        </w:rPr>
        <w:t>政工科、教务科、总务科、学生科、招生就业科、</w:t>
      </w:r>
      <w:r>
        <w:rPr>
          <w:rFonts w:hint="eastAsia" w:ascii="仿宋" w:hAnsi="仿宋" w:eastAsia="仿宋" w:cs="宋体"/>
          <w:color w:val="000000"/>
          <w:kern w:val="0"/>
          <w:sz w:val="32"/>
          <w:szCs w:val="32"/>
          <w:shd w:val="clear" w:color="auto" w:fill="FFFFFF"/>
          <w:lang w:val="en-US" w:eastAsia="zh-CN"/>
        </w:rPr>
        <w:t>保卫科、</w:t>
      </w:r>
      <w:r>
        <w:rPr>
          <w:rFonts w:hint="eastAsia" w:ascii="仿宋" w:hAnsi="仿宋" w:eastAsia="仿宋" w:cs="宋体"/>
          <w:color w:val="000000"/>
          <w:kern w:val="0"/>
          <w:sz w:val="32"/>
          <w:szCs w:val="32"/>
          <w:shd w:val="clear" w:color="auto" w:fill="FFFFFF"/>
        </w:rPr>
        <w:t>教学研究室和离退休人员工作科</w:t>
      </w:r>
      <w:r>
        <w:rPr>
          <w:rFonts w:hint="eastAsia" w:ascii="仿宋" w:hAnsi="仿宋" w:eastAsia="仿宋" w:cs="宋体"/>
          <w:color w:val="000000"/>
          <w:kern w:val="0"/>
          <w:sz w:val="32"/>
          <w:szCs w:val="32"/>
          <w:shd w:val="clear" w:color="auto" w:fill="FFFFFF"/>
          <w:lang w:eastAsia="zh-CN"/>
        </w:rPr>
        <w:t>，</w:t>
      </w:r>
      <w:r>
        <w:rPr>
          <w:rFonts w:hint="eastAsia" w:ascii="仿宋" w:hAnsi="仿宋" w:eastAsia="仿宋" w:cs="宋体"/>
          <w:color w:val="000000"/>
          <w:kern w:val="0"/>
          <w:sz w:val="32"/>
          <w:szCs w:val="32"/>
          <w:shd w:val="clear" w:color="auto" w:fill="FFFFFF"/>
        </w:rPr>
        <w:t>无下属二级单位。</w:t>
      </w:r>
    </w:p>
    <w:p w14:paraId="5CD27ACB">
      <w:pPr>
        <w:numPr>
          <w:ilvl w:val="0"/>
          <w:numId w:val="5"/>
        </w:numPr>
        <w:ind w:left="0" w:leftChars="0" w:firstLine="720" w:firstLineChars="0"/>
        <w:rPr>
          <w:rFonts w:hint="eastAsia" w:ascii="Times New Roman" w:hAnsi="Times New Roman" w:eastAsia="楷体_GB2312" w:cs="楷体_GB2312"/>
          <w:b/>
          <w:color w:val="auto"/>
          <w:sz w:val="32"/>
          <w:szCs w:val="32"/>
          <w:highlight w:val="none"/>
          <w:lang w:val="zh-CN"/>
        </w:rPr>
      </w:pPr>
      <w:r>
        <w:rPr>
          <w:rFonts w:hint="default" w:ascii="Times New Roman" w:hAnsi="Times New Roman" w:eastAsia="楷体_GB2312" w:cs="楷体_GB2312"/>
          <w:b/>
          <w:color w:val="auto"/>
          <w:sz w:val="32"/>
          <w:szCs w:val="32"/>
          <w:highlight w:val="none"/>
          <w:lang w:val="zh-CN"/>
        </w:rPr>
        <w:t>机构职能</w:t>
      </w:r>
      <w:r>
        <w:rPr>
          <w:rFonts w:hint="eastAsia" w:ascii="Times New Roman" w:hAnsi="Times New Roman" w:eastAsia="楷体_GB2312" w:cs="楷体_GB2312"/>
          <w:b/>
          <w:color w:val="auto"/>
          <w:sz w:val="32"/>
          <w:szCs w:val="32"/>
          <w:highlight w:val="none"/>
          <w:lang w:val="zh-CN"/>
        </w:rPr>
        <w:t>。</w:t>
      </w:r>
    </w:p>
    <w:p w14:paraId="12929AF7">
      <w:pPr>
        <w:spacing w:line="540" w:lineRule="exact"/>
        <w:ind w:firstLine="640" w:firstLineChars="200"/>
        <w:rPr>
          <w:rFonts w:hint="default" w:ascii="Times New Roman" w:hAnsi="Times New Roman" w:eastAsia="楷体_GB2312" w:cs="Times New Roman"/>
          <w:b/>
          <w:bCs/>
          <w:color w:val="000000"/>
          <w:kern w:val="0"/>
          <w:szCs w:val="32"/>
          <w:highlight w:val="none"/>
          <w:shd w:val="clear" w:color="auto" w:fill="FFFFFF"/>
          <w:lang w:val="zh-CN"/>
        </w:rPr>
      </w:pPr>
      <w:r>
        <w:rPr>
          <w:rFonts w:hint="eastAsia" w:ascii="仿宋" w:hAnsi="仿宋" w:eastAsia="仿宋" w:cs="宋体"/>
          <w:color w:val="000000"/>
          <w:kern w:val="0"/>
          <w:sz w:val="32"/>
          <w:szCs w:val="32"/>
          <w:shd w:val="clear" w:color="auto" w:fill="FFFFFF"/>
        </w:rPr>
        <w:t>凉山州农业学校是省部级重点中等专业学校，是凉山州培养大、中专技术人才的基地。主要工作任务</w:t>
      </w:r>
      <w:r>
        <w:rPr>
          <w:rFonts w:hint="eastAsia" w:ascii="仿宋" w:hAnsi="仿宋" w:eastAsia="仿宋" w:cs="宋体"/>
          <w:color w:val="000000"/>
          <w:kern w:val="0"/>
          <w:sz w:val="32"/>
          <w:szCs w:val="32"/>
          <w:shd w:val="clear" w:color="auto" w:fill="FFFFFF"/>
          <w:lang w:eastAsia="zh-CN"/>
        </w:rPr>
        <w:t>：</w:t>
      </w:r>
      <w:r>
        <w:rPr>
          <w:rFonts w:hint="eastAsia" w:ascii="仿宋" w:hAnsi="仿宋" w:eastAsia="仿宋" w:cs="宋体"/>
          <w:color w:val="000000"/>
          <w:kern w:val="0"/>
          <w:sz w:val="32"/>
          <w:szCs w:val="32"/>
          <w:shd w:val="clear" w:color="auto" w:fill="FFFFFF"/>
        </w:rPr>
        <w:t>1.培养中等学历技术人才，促进</w:t>
      </w:r>
      <w:r>
        <w:rPr>
          <w:rFonts w:hint="eastAsia" w:ascii="仿宋" w:hAnsi="仿宋" w:eastAsia="仿宋" w:cs="宋体"/>
          <w:color w:val="000000"/>
          <w:kern w:val="0"/>
          <w:sz w:val="32"/>
          <w:szCs w:val="32"/>
          <w:shd w:val="clear" w:color="auto" w:fill="FFFFFF"/>
          <w:lang w:val="en-US" w:eastAsia="zh-CN"/>
        </w:rPr>
        <w:t>社会</w:t>
      </w:r>
      <w:r>
        <w:rPr>
          <w:rFonts w:hint="eastAsia" w:ascii="仿宋" w:hAnsi="仿宋" w:eastAsia="仿宋" w:cs="宋体"/>
          <w:color w:val="000000"/>
          <w:kern w:val="0"/>
          <w:sz w:val="32"/>
          <w:szCs w:val="32"/>
          <w:shd w:val="clear" w:color="auto" w:fill="FFFFFF"/>
        </w:rPr>
        <w:t>发展。2.学校在中专层次基础上，与四川农业大学、天津大学、电子科技大学、成都工业学院、四川省机电职业技术学院、内江职业技术学院、西昌学院、乐山师范学院8所高等院校联合办学，培养五年制高职和成人本、专科层次人才。3.承办了全州基层农技人员培训</w:t>
      </w:r>
      <w:r>
        <w:rPr>
          <w:rFonts w:hint="eastAsia" w:ascii="仿宋" w:hAnsi="仿宋" w:eastAsia="仿宋" w:cs="宋体"/>
          <w:color w:val="000000"/>
          <w:kern w:val="0"/>
          <w:sz w:val="32"/>
          <w:szCs w:val="32"/>
          <w:shd w:val="clear" w:color="auto" w:fill="FFFFFF"/>
          <w:lang w:eastAsia="zh-CN"/>
        </w:rPr>
        <w:t>、</w:t>
      </w:r>
      <w:r>
        <w:rPr>
          <w:rFonts w:hint="eastAsia" w:ascii="仿宋" w:hAnsi="仿宋" w:eastAsia="仿宋" w:cs="宋体"/>
          <w:color w:val="000000"/>
          <w:kern w:val="0"/>
          <w:sz w:val="32"/>
          <w:szCs w:val="32"/>
          <w:shd w:val="clear" w:color="auto" w:fill="FFFFFF"/>
          <w:lang w:val="en-US" w:eastAsia="zh-CN"/>
        </w:rPr>
        <w:t>高素质农民培训、凉山州基础教育教师培训等51期培训</w:t>
      </w:r>
      <w:r>
        <w:rPr>
          <w:rFonts w:hint="eastAsia" w:ascii="仿宋" w:hAnsi="仿宋" w:eastAsia="仿宋" w:cs="宋体"/>
          <w:color w:val="000000"/>
          <w:kern w:val="0"/>
          <w:sz w:val="32"/>
          <w:szCs w:val="32"/>
          <w:shd w:val="clear" w:color="auto" w:fill="FFFFFF"/>
        </w:rPr>
        <w:t>工作。4.</w:t>
      </w:r>
      <w:r>
        <w:rPr>
          <w:rFonts w:hint="eastAsia" w:ascii="仿宋" w:hAnsi="仿宋" w:eastAsia="仿宋" w:cs="宋体"/>
          <w:color w:val="000000"/>
          <w:kern w:val="0"/>
          <w:sz w:val="32"/>
          <w:szCs w:val="32"/>
          <w:shd w:val="clear" w:color="auto" w:fill="FFFFFF"/>
          <w:lang w:val="en-US" w:eastAsia="zh-CN"/>
        </w:rPr>
        <w:t>加强筹备、联络、协调对口帮扶工作。</w:t>
      </w:r>
    </w:p>
    <w:p w14:paraId="549A6FB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cs="Times New Roman"/>
          <w:szCs w:val="32"/>
        </w:rPr>
      </w:pP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三</w:t>
      </w:r>
      <w:r>
        <w:rPr>
          <w:rFonts w:hint="default" w:ascii="Times New Roman" w:hAnsi="Times New Roman" w:eastAsia="楷体_GB2312" w:cs="Times New Roman"/>
          <w:b/>
          <w:bCs/>
          <w:color w:val="000000"/>
          <w:kern w:val="0"/>
          <w:sz w:val="32"/>
          <w:szCs w:val="32"/>
          <w:highlight w:val="none"/>
          <w:shd w:val="clear" w:color="auto" w:fill="FFFFFF"/>
          <w:lang w:val="zh-CN"/>
        </w:rPr>
        <w:t>）人员概况</w:t>
      </w:r>
      <w:r>
        <w:rPr>
          <w:rFonts w:hint="eastAsia" w:ascii="Times New Roman" w:hAnsi="Times New Roman" w:eastAsia="楷体_GB2312" w:cs="Times New Roman"/>
          <w:b/>
          <w:bCs/>
          <w:color w:val="000000"/>
          <w:kern w:val="0"/>
          <w:sz w:val="32"/>
          <w:szCs w:val="32"/>
          <w:highlight w:val="none"/>
          <w:shd w:val="clear" w:color="auto" w:fill="FFFFFF"/>
          <w:lang w:val="zh-CN"/>
        </w:rPr>
        <w:t>。</w:t>
      </w:r>
      <w:r>
        <w:rPr>
          <w:rFonts w:hint="eastAsia" w:ascii="仿宋" w:hAnsi="仿宋" w:eastAsia="仿宋" w:cs="仿宋_GB2312"/>
          <w:sz w:val="32"/>
          <w:szCs w:val="32"/>
        </w:rPr>
        <w:t>凉山州农业学校事业编制118人，2024年年末财政补助开支人数104人，比上年增加6人，原因是新进15人，退休8人,辞职1人。</w:t>
      </w:r>
    </w:p>
    <w:p w14:paraId="15924DD2">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000000"/>
          <w:kern w:val="0"/>
          <w:sz w:val="32"/>
          <w:szCs w:val="32"/>
          <w:highlight w:val="none"/>
          <w:shd w:val="clear" w:color="auto" w:fill="FFFFFF"/>
          <w:lang w:val="zh-CN" w:eastAsia="zh-CN"/>
        </w:rPr>
      </w:pPr>
      <w:r>
        <w:rPr>
          <w:rFonts w:hint="default" w:ascii="Times New Roman" w:hAnsi="Times New Roman" w:eastAsia="黑体" w:cs="Times New Roman"/>
          <w:color w:val="000000"/>
          <w:kern w:val="0"/>
          <w:sz w:val="32"/>
          <w:szCs w:val="32"/>
          <w:highlight w:val="none"/>
          <w:shd w:val="clear" w:color="auto" w:fill="FFFFFF"/>
          <w:lang w:val="zh-CN" w:eastAsia="zh-CN"/>
        </w:rPr>
        <w:t>二、</w:t>
      </w:r>
      <w:r>
        <w:rPr>
          <w:rFonts w:hint="eastAsia" w:eastAsia="黑体" w:cs="Times New Roman"/>
          <w:color w:val="000000"/>
          <w:kern w:val="0"/>
          <w:sz w:val="32"/>
          <w:szCs w:val="32"/>
          <w:highlight w:val="none"/>
          <w:shd w:val="clear" w:color="auto" w:fill="FFFFFF"/>
          <w:lang w:val="en-US" w:eastAsia="zh-CN"/>
        </w:rPr>
        <w:t>单位</w:t>
      </w:r>
      <w:r>
        <w:rPr>
          <w:rFonts w:hint="default" w:ascii="Times New Roman" w:hAnsi="Times New Roman" w:eastAsia="黑体" w:cs="Times New Roman"/>
          <w:color w:val="000000"/>
          <w:kern w:val="0"/>
          <w:sz w:val="32"/>
          <w:szCs w:val="32"/>
          <w:highlight w:val="none"/>
          <w:shd w:val="clear" w:color="auto" w:fill="FFFFFF"/>
          <w:lang w:val="zh-CN" w:eastAsia="zh-CN"/>
        </w:rPr>
        <w:t>资金收支情况</w:t>
      </w:r>
    </w:p>
    <w:p w14:paraId="6913D663">
      <w:pPr>
        <w:widowControl/>
        <w:adjustRightInd w:val="0"/>
        <w:snapToGrid w:val="0"/>
        <w:spacing w:line="540" w:lineRule="exact"/>
        <w:ind w:firstLine="643" w:firstLineChars="200"/>
        <w:contextualSpacing/>
        <w:jc w:val="left"/>
        <w:rPr>
          <w:rFonts w:hint="eastAsia" w:ascii="仿宋" w:hAnsi="仿宋" w:eastAsia="仿宋" w:cs="仿宋_GB2312"/>
          <w:sz w:val="32"/>
          <w:szCs w:val="32"/>
        </w:rPr>
      </w:pPr>
      <w:r>
        <w:rPr>
          <w:rFonts w:hint="default" w:ascii="Times New Roman" w:hAnsi="Times New Roman" w:eastAsia="楷体_GB2312" w:cs="Times New Roman"/>
          <w:b/>
          <w:bCs/>
          <w:color w:val="000000"/>
          <w:kern w:val="0"/>
          <w:sz w:val="32"/>
          <w:szCs w:val="32"/>
          <w:highlight w:val="none"/>
          <w:shd w:val="clear" w:color="auto" w:fill="FFFFFF"/>
          <w:lang w:val="zh-CN"/>
        </w:rPr>
        <w:t>（一）</w:t>
      </w:r>
      <w:r>
        <w:rPr>
          <w:rFonts w:hint="eastAsia" w:ascii="Times New Roman" w:hAnsi="Times New Roman" w:eastAsia="楷体_GB2312" w:cs="Times New Roman"/>
          <w:b/>
          <w:bCs/>
          <w:color w:val="000000"/>
          <w:kern w:val="0"/>
          <w:sz w:val="32"/>
          <w:szCs w:val="32"/>
          <w:highlight w:val="none"/>
          <w:shd w:val="clear" w:color="auto" w:fill="FFFFFF"/>
          <w:lang w:val="zh-CN"/>
        </w:rPr>
        <w:t>收入情况</w:t>
      </w: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仿宋" w:hAnsi="仿宋" w:eastAsia="仿宋" w:cs="仿宋_GB2312"/>
          <w:sz w:val="32"/>
          <w:szCs w:val="32"/>
          <w:lang w:val="en-US" w:eastAsia="zh-CN"/>
        </w:rPr>
        <w:t>凉山州农业学校</w:t>
      </w:r>
      <w:r>
        <w:rPr>
          <w:rFonts w:hint="eastAsia" w:ascii="仿宋" w:hAnsi="仿宋" w:eastAsia="仿宋" w:cs="仿宋_GB2312"/>
          <w:sz w:val="32"/>
          <w:szCs w:val="32"/>
        </w:rPr>
        <w:t>2024年年初预算收入</w:t>
      </w:r>
      <w:r>
        <w:rPr>
          <w:rFonts w:hint="eastAsia" w:ascii="仿宋" w:hAnsi="仿宋" w:eastAsia="仿宋" w:cs="仿宋_GB2312"/>
          <w:sz w:val="32"/>
          <w:szCs w:val="32"/>
          <w:lang w:val="en-US" w:eastAsia="zh-CN"/>
        </w:rPr>
        <w:t>3274.24万元，其中一般公共预算财政拨款收入2790.24万元，事业收入80万元，其他收入400万元；2024年</w:t>
      </w:r>
      <w:r>
        <w:rPr>
          <w:rFonts w:hint="eastAsia" w:ascii="仿宋" w:hAnsi="仿宋" w:eastAsia="仿宋" w:cs="仿宋_GB2312"/>
          <w:sz w:val="32"/>
          <w:szCs w:val="32"/>
        </w:rPr>
        <w:t>决算报表收入4196.39</w:t>
      </w:r>
      <w:r>
        <w:rPr>
          <w:rFonts w:hint="eastAsia" w:ascii="仿宋" w:hAnsi="仿宋" w:eastAsia="仿宋" w:cs="仿宋_GB2312"/>
          <w:sz w:val="32"/>
          <w:szCs w:val="32"/>
          <w:lang w:val="en-US" w:eastAsia="zh-CN"/>
        </w:rPr>
        <w:t>万元，其中一般公共预算财政拨款收入3704.67万元，事业收入92.01万元，其他收入399.70万元</w:t>
      </w:r>
      <w:r>
        <w:rPr>
          <w:rFonts w:hint="eastAsia" w:ascii="仿宋" w:hAnsi="仿宋" w:eastAsia="仿宋" w:cs="仿宋_GB2312"/>
          <w:sz w:val="32"/>
          <w:szCs w:val="32"/>
        </w:rPr>
        <w:t>。</w:t>
      </w:r>
    </w:p>
    <w:p w14:paraId="7A04DCA3">
      <w:pPr>
        <w:widowControl/>
        <w:adjustRightInd w:val="0"/>
        <w:snapToGrid w:val="0"/>
        <w:spacing w:line="540" w:lineRule="exact"/>
        <w:ind w:firstLine="643" w:firstLineChars="200"/>
        <w:contextualSpacing/>
        <w:jc w:val="left"/>
        <w:rPr>
          <w:rFonts w:hint="eastAsia" w:ascii="仿宋" w:hAnsi="仿宋" w:eastAsia="仿宋" w:cs="仿宋_GB2312"/>
          <w:sz w:val="32"/>
          <w:szCs w:val="32"/>
          <w:lang w:val="en-US" w:eastAsia="zh-CN"/>
        </w:rPr>
      </w:pP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二</w:t>
      </w: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支出情况</w:t>
      </w: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仿宋" w:hAnsi="仿宋" w:eastAsia="仿宋" w:cs="仿宋_GB2312"/>
          <w:sz w:val="32"/>
          <w:szCs w:val="32"/>
          <w:lang w:val="en-US" w:eastAsia="zh-CN"/>
        </w:rPr>
        <w:t>凉山州农业学校2024年年初预算支出3274.24万元，其中教育支出2454.59万元，社会保障和就业支出521.38万元，卫生健康支出143.20万元，住房保障支出155.06万元；决算报表支出4196.39万元，其中教育支出3336.16万元，社会保障和就业支出550.52万元，卫生健康支出150.88万元，住房保障支出158.83万元。</w:t>
      </w:r>
    </w:p>
    <w:p w14:paraId="3B498702">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一、基本支出2394.48万元，其中人员经费支出2218.30万元，完成全年工资发放及各项保险缴纳支出；公用经费176.18万元，完成包括办公费、水电费、邮电费、物业管理费、差旅费、培训费、维修费、专用材料费、三公经费、租赁费、劳务费、计提的福利费、其他交通费、其他商品和服务等支出。</w:t>
      </w:r>
    </w:p>
    <w:p w14:paraId="43493C86">
      <w:pPr>
        <w:widowControl/>
        <w:adjustRightInd w:val="0"/>
        <w:snapToGrid w:val="0"/>
        <w:spacing w:line="540" w:lineRule="exact"/>
        <w:ind w:firstLine="640" w:firstLineChars="200"/>
        <w:contextualSpacing/>
        <w:jc w:val="left"/>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二、项目支出1801.90万元，其中：</w:t>
      </w:r>
    </w:p>
    <w:tbl>
      <w:tblPr>
        <w:tblStyle w:val="16"/>
        <w:tblW w:w="907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219"/>
        <w:gridCol w:w="1980"/>
        <w:gridCol w:w="3876"/>
      </w:tblGrid>
      <w:tr w14:paraId="4DECA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219" w:type="dxa"/>
            <w:tcBorders>
              <w:top w:val="single" w:color="000000" w:sz="4" w:space="0"/>
              <w:left w:val="single" w:color="000000" w:sz="4" w:space="0"/>
              <w:bottom w:val="single" w:color="000000" w:sz="4" w:space="0"/>
              <w:right w:val="single" w:color="000000" w:sz="4" w:space="0"/>
            </w:tcBorders>
            <w:noWrap/>
            <w:vAlign w:val="center"/>
          </w:tcPr>
          <w:p w14:paraId="036DDF40">
            <w:pPr>
              <w:widowControl/>
              <w:adjustRightInd w:val="0"/>
              <w:snapToGrid w:val="0"/>
              <w:spacing w:line="540" w:lineRule="exact"/>
              <w:ind w:firstLine="640" w:firstLineChars="200"/>
              <w:contextualSpacing/>
              <w:jc w:val="left"/>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项目名称</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C3C3878">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金额（万元）</w:t>
            </w:r>
          </w:p>
        </w:tc>
        <w:tc>
          <w:tcPr>
            <w:tcW w:w="3876" w:type="dxa"/>
            <w:tcBorders>
              <w:top w:val="single" w:color="000000" w:sz="4" w:space="0"/>
              <w:left w:val="single" w:color="000000" w:sz="4" w:space="0"/>
              <w:bottom w:val="single" w:color="000000" w:sz="4" w:space="0"/>
              <w:right w:val="single" w:color="000000" w:sz="4" w:space="0"/>
            </w:tcBorders>
            <w:noWrap/>
            <w:vAlign w:val="center"/>
          </w:tcPr>
          <w:p w14:paraId="04CA186A">
            <w:pPr>
              <w:widowControl/>
              <w:adjustRightInd w:val="0"/>
              <w:snapToGrid w:val="0"/>
              <w:spacing w:line="540" w:lineRule="exact"/>
              <w:ind w:firstLine="640" w:firstLineChars="200"/>
              <w:contextualSpacing/>
              <w:jc w:val="left"/>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完成总体目标</w:t>
            </w:r>
          </w:p>
        </w:tc>
      </w:tr>
      <w:tr w14:paraId="6D0E6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219" w:type="dxa"/>
            <w:tcBorders>
              <w:top w:val="single" w:color="000000" w:sz="4" w:space="0"/>
              <w:left w:val="single" w:color="000000" w:sz="4" w:space="0"/>
              <w:bottom w:val="single" w:color="000000" w:sz="4" w:space="0"/>
              <w:right w:val="single" w:color="000000" w:sz="4" w:space="0"/>
            </w:tcBorders>
            <w:noWrap/>
            <w:vAlign w:val="center"/>
          </w:tcPr>
          <w:p w14:paraId="01BB9E95">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州级职教专项经费</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67ABE330">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35.88</w:t>
            </w:r>
          </w:p>
        </w:tc>
        <w:tc>
          <w:tcPr>
            <w:tcW w:w="3876" w:type="dxa"/>
            <w:tcBorders>
              <w:top w:val="single" w:color="000000" w:sz="4" w:space="0"/>
              <w:left w:val="single" w:color="000000" w:sz="4" w:space="0"/>
              <w:bottom w:val="single" w:color="000000" w:sz="4" w:space="0"/>
              <w:right w:val="single" w:color="000000" w:sz="4" w:space="0"/>
            </w:tcBorders>
            <w:noWrap/>
            <w:vAlign w:val="center"/>
          </w:tcPr>
          <w:p w14:paraId="495F9931">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维修改造畜牧实训室1个，采购实训设备一批。</w:t>
            </w:r>
          </w:p>
        </w:tc>
      </w:tr>
      <w:tr w14:paraId="6D7D0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219" w:type="dxa"/>
            <w:tcBorders>
              <w:top w:val="single" w:color="000000" w:sz="4" w:space="0"/>
              <w:left w:val="single" w:color="000000" w:sz="4" w:space="0"/>
              <w:bottom w:val="single" w:color="000000" w:sz="4" w:space="0"/>
              <w:right w:val="single" w:color="000000" w:sz="4" w:space="0"/>
            </w:tcBorders>
            <w:noWrap/>
            <w:vAlign w:val="center"/>
          </w:tcPr>
          <w:p w14:paraId="78408498">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现代职业教育质量提升计划</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3857146B">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99.19</w:t>
            </w:r>
          </w:p>
        </w:tc>
        <w:tc>
          <w:tcPr>
            <w:tcW w:w="3876" w:type="dxa"/>
            <w:tcBorders>
              <w:top w:val="single" w:color="000000" w:sz="4" w:space="0"/>
              <w:left w:val="single" w:color="000000" w:sz="4" w:space="0"/>
              <w:bottom w:val="single" w:color="000000" w:sz="4" w:space="0"/>
              <w:right w:val="single" w:color="000000" w:sz="4" w:space="0"/>
            </w:tcBorders>
            <w:noWrap/>
            <w:vAlign w:val="center"/>
          </w:tcPr>
          <w:p w14:paraId="60A92E67">
            <w:pPr>
              <w:widowControl/>
              <w:adjustRightInd w:val="0"/>
              <w:snapToGrid w:val="0"/>
              <w:spacing w:line="540" w:lineRule="exact"/>
              <w:ind w:firstLine="640" w:firstLineChars="200"/>
              <w:contextualSpacing/>
              <w:jc w:val="left"/>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学校维修改造，确保学校日常教学正常进行</w:t>
            </w:r>
          </w:p>
        </w:tc>
      </w:tr>
      <w:tr w14:paraId="3FBBD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219" w:type="dxa"/>
            <w:tcBorders>
              <w:top w:val="single" w:color="000000" w:sz="4" w:space="0"/>
              <w:left w:val="single" w:color="000000" w:sz="4" w:space="0"/>
              <w:bottom w:val="single" w:color="000000" w:sz="4" w:space="0"/>
              <w:right w:val="single" w:color="000000" w:sz="4" w:space="0"/>
            </w:tcBorders>
            <w:noWrap/>
            <w:vAlign w:val="center"/>
          </w:tcPr>
          <w:p w14:paraId="3610A668">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公务用车购置经费（FS）</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17CE344">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24.7</w:t>
            </w:r>
          </w:p>
        </w:tc>
        <w:tc>
          <w:tcPr>
            <w:tcW w:w="3876" w:type="dxa"/>
            <w:tcBorders>
              <w:top w:val="single" w:color="000000" w:sz="4" w:space="0"/>
              <w:left w:val="single" w:color="000000" w:sz="4" w:space="0"/>
              <w:bottom w:val="single" w:color="000000" w:sz="4" w:space="0"/>
              <w:right w:val="single" w:color="000000" w:sz="4" w:space="0"/>
            </w:tcBorders>
            <w:noWrap/>
            <w:vAlign w:val="center"/>
          </w:tcPr>
          <w:p w14:paraId="4E83920C">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完成所购置的车辆能够保障日常公务出行，车辆质量合格，确保乘车人及其他行人交通安全。</w:t>
            </w:r>
          </w:p>
        </w:tc>
      </w:tr>
      <w:tr w14:paraId="03393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219" w:type="dxa"/>
            <w:tcBorders>
              <w:top w:val="single" w:color="000000" w:sz="4" w:space="0"/>
              <w:left w:val="single" w:color="000000" w:sz="4" w:space="0"/>
              <w:bottom w:val="single" w:color="000000" w:sz="4" w:space="0"/>
              <w:right w:val="single" w:color="000000" w:sz="4" w:space="0"/>
            </w:tcBorders>
            <w:noWrap/>
            <w:vAlign w:val="center"/>
          </w:tcPr>
          <w:p w14:paraId="0B4D93FB">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教学设备采购（FS）</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470A8D6">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26.88</w:t>
            </w:r>
          </w:p>
        </w:tc>
        <w:tc>
          <w:tcPr>
            <w:tcW w:w="3876" w:type="dxa"/>
            <w:tcBorders>
              <w:top w:val="single" w:color="000000" w:sz="4" w:space="0"/>
              <w:left w:val="single" w:color="000000" w:sz="4" w:space="0"/>
              <w:bottom w:val="single" w:color="000000" w:sz="4" w:space="0"/>
              <w:right w:val="single" w:color="000000" w:sz="4" w:space="0"/>
            </w:tcBorders>
            <w:noWrap/>
            <w:vAlign w:val="center"/>
          </w:tcPr>
          <w:p w14:paraId="3B239BDA">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在规定时间内完成设备采购，保障广播系统的正常运行，通过此次采购，可至少保障5年内单位广播需求。广播质量合格。</w:t>
            </w:r>
          </w:p>
        </w:tc>
      </w:tr>
      <w:tr w14:paraId="4DAFF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219" w:type="dxa"/>
            <w:tcBorders>
              <w:top w:val="single" w:color="000000" w:sz="4" w:space="0"/>
              <w:left w:val="single" w:color="000000" w:sz="4" w:space="0"/>
              <w:bottom w:val="single" w:color="000000" w:sz="4" w:space="0"/>
              <w:right w:val="single" w:color="000000" w:sz="4" w:space="0"/>
            </w:tcBorders>
            <w:noWrap/>
            <w:vAlign w:val="center"/>
          </w:tcPr>
          <w:p w14:paraId="57339A24">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州级职教专项（凉山州中等职业学校师生技能大赛经费）</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7A5E575">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53.21</w:t>
            </w:r>
          </w:p>
        </w:tc>
        <w:tc>
          <w:tcPr>
            <w:tcW w:w="3876" w:type="dxa"/>
            <w:tcBorders>
              <w:top w:val="single" w:color="000000" w:sz="4" w:space="0"/>
              <w:left w:val="single" w:color="000000" w:sz="4" w:space="0"/>
              <w:bottom w:val="single" w:color="000000" w:sz="4" w:space="0"/>
              <w:right w:val="single" w:color="000000" w:sz="4" w:space="0"/>
            </w:tcBorders>
            <w:noWrap/>
            <w:vAlign w:val="center"/>
          </w:tcPr>
          <w:p w14:paraId="7B651FDE">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保障学校师生技能大赛顺利开展，提升师生专业技能水平与职业素养。</w:t>
            </w:r>
          </w:p>
        </w:tc>
      </w:tr>
      <w:tr w14:paraId="5FD28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219" w:type="dxa"/>
            <w:tcBorders>
              <w:top w:val="single" w:color="000000" w:sz="4" w:space="0"/>
              <w:left w:val="single" w:color="000000" w:sz="4" w:space="0"/>
              <w:bottom w:val="single" w:color="000000" w:sz="4" w:space="0"/>
              <w:right w:val="single" w:color="000000" w:sz="4" w:space="0"/>
            </w:tcBorders>
            <w:noWrap/>
            <w:vAlign w:val="center"/>
          </w:tcPr>
          <w:p w14:paraId="79442949">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中职国家助学金</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0012F105">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372.38</w:t>
            </w:r>
          </w:p>
        </w:tc>
        <w:tc>
          <w:tcPr>
            <w:tcW w:w="3876" w:type="dxa"/>
            <w:tcBorders>
              <w:top w:val="single" w:color="000000" w:sz="4" w:space="0"/>
              <w:left w:val="single" w:color="000000" w:sz="4" w:space="0"/>
              <w:bottom w:val="single" w:color="000000" w:sz="4" w:space="0"/>
              <w:right w:val="single" w:color="000000" w:sz="4" w:space="0"/>
            </w:tcBorders>
            <w:noWrap/>
            <w:vAlign w:val="center"/>
          </w:tcPr>
          <w:p w14:paraId="671D19A6">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通过发放国家助学金，使每一位学生生活上有一定的保障，能好好学习。</w:t>
            </w:r>
          </w:p>
        </w:tc>
      </w:tr>
      <w:tr w14:paraId="17B46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219" w:type="dxa"/>
            <w:tcBorders>
              <w:top w:val="single" w:color="000000" w:sz="4" w:space="0"/>
              <w:left w:val="single" w:color="000000" w:sz="4" w:space="0"/>
              <w:bottom w:val="single" w:color="000000" w:sz="4" w:space="0"/>
              <w:right w:val="single" w:color="000000" w:sz="4" w:space="0"/>
            </w:tcBorders>
            <w:noWrap/>
            <w:vAlign w:val="center"/>
          </w:tcPr>
          <w:p w14:paraId="287D951A">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中职免学费</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6AF1777">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599.97</w:t>
            </w:r>
          </w:p>
        </w:tc>
        <w:tc>
          <w:tcPr>
            <w:tcW w:w="3876" w:type="dxa"/>
            <w:tcBorders>
              <w:top w:val="single" w:color="000000" w:sz="4" w:space="0"/>
              <w:left w:val="single" w:color="000000" w:sz="4" w:space="0"/>
              <w:bottom w:val="single" w:color="000000" w:sz="4" w:space="0"/>
              <w:right w:val="single" w:color="000000" w:sz="4" w:space="0"/>
            </w:tcBorders>
            <w:noWrap/>
            <w:vAlign w:val="center"/>
          </w:tcPr>
          <w:p w14:paraId="3FBF5411">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维持学校日常运转，保障学校正常运行，提升学生教学质量。</w:t>
            </w:r>
          </w:p>
        </w:tc>
      </w:tr>
      <w:tr w14:paraId="02065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219" w:type="dxa"/>
            <w:tcBorders>
              <w:top w:val="single" w:color="000000" w:sz="4" w:space="0"/>
              <w:left w:val="single" w:color="000000" w:sz="4" w:space="0"/>
              <w:bottom w:val="single" w:color="000000" w:sz="4" w:space="0"/>
              <w:right w:val="single" w:color="000000" w:sz="4" w:space="0"/>
            </w:tcBorders>
            <w:noWrap/>
            <w:vAlign w:val="center"/>
          </w:tcPr>
          <w:p w14:paraId="546614C9">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州级职教专项（技能检测经费）</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77AEECAB">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5.06</w:t>
            </w:r>
          </w:p>
        </w:tc>
        <w:tc>
          <w:tcPr>
            <w:tcW w:w="3876" w:type="dxa"/>
            <w:tcBorders>
              <w:top w:val="single" w:color="000000" w:sz="4" w:space="0"/>
              <w:left w:val="single" w:color="000000" w:sz="4" w:space="0"/>
              <w:bottom w:val="single" w:color="000000" w:sz="4" w:space="0"/>
              <w:right w:val="single" w:color="000000" w:sz="4" w:space="0"/>
            </w:tcBorders>
            <w:noWrap/>
            <w:vAlign w:val="center"/>
          </w:tcPr>
          <w:p w14:paraId="443132F9">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保障学校职业技能检测工作顺利开展，提升学生职业技能水平。</w:t>
            </w:r>
          </w:p>
        </w:tc>
      </w:tr>
      <w:tr w14:paraId="4AA50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219" w:type="dxa"/>
            <w:tcBorders>
              <w:top w:val="single" w:color="000000" w:sz="4" w:space="0"/>
              <w:left w:val="single" w:color="000000" w:sz="4" w:space="0"/>
              <w:bottom w:val="single" w:color="000000" w:sz="4" w:space="0"/>
              <w:right w:val="single" w:color="000000" w:sz="4" w:space="0"/>
            </w:tcBorders>
            <w:noWrap/>
            <w:vAlign w:val="center"/>
          </w:tcPr>
          <w:p w14:paraId="126FF4E1">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公共卫生特别服务岗待遇保障经费</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F4B6E7A">
            <w:pPr>
              <w:widowControl/>
              <w:adjustRightInd w:val="0"/>
              <w:snapToGrid w:val="0"/>
              <w:spacing w:line="540" w:lineRule="exact"/>
              <w:ind w:firstLine="640" w:firstLineChars="200"/>
              <w:contextualSpacing/>
              <w:jc w:val="left"/>
              <w:rPr>
                <w:rFonts w:hint="default" w:ascii="仿宋" w:hAnsi="仿宋" w:eastAsia="仿宋" w:cs="仿宋_GB2312"/>
                <w:sz w:val="32"/>
                <w:szCs w:val="32"/>
                <w:lang w:val="en-US" w:eastAsia="zh-CN"/>
              </w:rPr>
            </w:pPr>
            <w:r>
              <w:rPr>
                <w:rFonts w:hint="eastAsia" w:ascii="仿宋" w:hAnsi="仿宋" w:eastAsia="仿宋" w:cs="仿宋_GB2312"/>
                <w:sz w:val="32"/>
                <w:szCs w:val="32"/>
                <w:lang w:val="en-US" w:eastAsia="zh-CN"/>
              </w:rPr>
              <w:t>16</w:t>
            </w:r>
          </w:p>
        </w:tc>
        <w:tc>
          <w:tcPr>
            <w:tcW w:w="3876" w:type="dxa"/>
            <w:tcBorders>
              <w:top w:val="single" w:color="000000" w:sz="4" w:space="0"/>
              <w:left w:val="single" w:color="000000" w:sz="4" w:space="0"/>
              <w:bottom w:val="single" w:color="000000" w:sz="4" w:space="0"/>
              <w:right w:val="single" w:color="000000" w:sz="4" w:space="0"/>
            </w:tcBorders>
            <w:noWrap/>
            <w:vAlign w:val="center"/>
          </w:tcPr>
          <w:p w14:paraId="69D25935">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完成2名公共卫生特别服务岗待遇保障经费</w:t>
            </w:r>
          </w:p>
        </w:tc>
      </w:tr>
      <w:tr w14:paraId="1E189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219" w:type="dxa"/>
            <w:tcBorders>
              <w:top w:val="single" w:color="000000" w:sz="4" w:space="0"/>
              <w:left w:val="single" w:color="000000" w:sz="4" w:space="0"/>
              <w:bottom w:val="single" w:color="000000" w:sz="4" w:space="0"/>
              <w:right w:val="single" w:color="000000" w:sz="4" w:space="0"/>
            </w:tcBorders>
            <w:noWrap/>
            <w:vAlign w:val="center"/>
          </w:tcPr>
          <w:p w14:paraId="1E4980F7">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基层农技人员提升及高素质农民培育等专项（FS）</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40E658EF">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375</w:t>
            </w:r>
          </w:p>
        </w:tc>
        <w:tc>
          <w:tcPr>
            <w:tcW w:w="3876" w:type="dxa"/>
            <w:tcBorders>
              <w:top w:val="single" w:color="000000" w:sz="4" w:space="0"/>
              <w:left w:val="single" w:color="000000" w:sz="4" w:space="0"/>
              <w:bottom w:val="single" w:color="000000" w:sz="4" w:space="0"/>
              <w:right w:val="single" w:color="000000" w:sz="4" w:space="0"/>
            </w:tcBorders>
            <w:noWrap/>
            <w:vAlign w:val="center"/>
          </w:tcPr>
          <w:p w14:paraId="11613ECB">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完成2024年省州农业农村局等部门下达的各项培训任务，提升基层农技人员基础知识和技能。</w:t>
            </w:r>
          </w:p>
        </w:tc>
      </w:tr>
      <w:tr w14:paraId="7D250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219" w:type="dxa"/>
            <w:tcBorders>
              <w:top w:val="single" w:color="000000" w:sz="4" w:space="0"/>
              <w:left w:val="single" w:color="000000" w:sz="4" w:space="0"/>
              <w:bottom w:val="single" w:color="000000" w:sz="4" w:space="0"/>
              <w:right w:val="single" w:color="000000" w:sz="4" w:space="0"/>
            </w:tcBorders>
            <w:noWrap/>
            <w:vAlign w:val="center"/>
          </w:tcPr>
          <w:p w14:paraId="05F762AC">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学生资助资金（FS）</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2D56F82">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5.78</w:t>
            </w:r>
          </w:p>
        </w:tc>
        <w:tc>
          <w:tcPr>
            <w:tcW w:w="3876" w:type="dxa"/>
            <w:tcBorders>
              <w:top w:val="single" w:color="000000" w:sz="4" w:space="0"/>
              <w:left w:val="single" w:color="000000" w:sz="4" w:space="0"/>
              <w:bottom w:val="single" w:color="000000" w:sz="4" w:space="0"/>
              <w:right w:val="single" w:color="000000" w:sz="4" w:space="0"/>
            </w:tcBorders>
            <w:noWrap/>
            <w:vAlign w:val="center"/>
          </w:tcPr>
          <w:p w14:paraId="5FFCDB05">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提取事业收入的5%作为助学金，用于贫困学生补助，通过资助工作的开展，改善学生在校生活条件。</w:t>
            </w:r>
          </w:p>
        </w:tc>
      </w:tr>
      <w:tr w14:paraId="6F2A1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3219" w:type="dxa"/>
            <w:tcBorders>
              <w:top w:val="single" w:color="000000" w:sz="4" w:space="0"/>
              <w:left w:val="single" w:color="000000" w:sz="4" w:space="0"/>
              <w:bottom w:val="single" w:color="000000" w:sz="4" w:space="0"/>
              <w:right w:val="single" w:color="000000" w:sz="4" w:space="0"/>
            </w:tcBorders>
            <w:noWrap/>
            <w:vAlign w:val="center"/>
          </w:tcPr>
          <w:p w14:paraId="11A366AB">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临聘人员及代课教师经费（FS）</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968FE99">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187.13</w:t>
            </w:r>
          </w:p>
        </w:tc>
        <w:tc>
          <w:tcPr>
            <w:tcW w:w="3876" w:type="dxa"/>
            <w:tcBorders>
              <w:top w:val="single" w:color="000000" w:sz="4" w:space="0"/>
              <w:left w:val="single" w:color="000000" w:sz="4" w:space="0"/>
              <w:bottom w:val="single" w:color="000000" w:sz="4" w:space="0"/>
              <w:right w:val="single" w:color="000000" w:sz="4" w:space="0"/>
            </w:tcBorders>
            <w:noWrap/>
            <w:vAlign w:val="center"/>
          </w:tcPr>
          <w:p w14:paraId="5C6E3111">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完成2024年临聘人员与代课教师待遇按时发放。</w:t>
            </w:r>
          </w:p>
        </w:tc>
      </w:tr>
      <w:tr w14:paraId="76F95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3219" w:type="dxa"/>
            <w:tcBorders>
              <w:top w:val="single" w:color="000000" w:sz="4" w:space="0"/>
              <w:left w:val="single" w:color="000000" w:sz="4" w:space="0"/>
              <w:bottom w:val="single" w:color="000000" w:sz="4" w:space="0"/>
              <w:right w:val="single" w:color="000000" w:sz="4" w:space="0"/>
            </w:tcBorders>
            <w:noWrap/>
            <w:vAlign w:val="center"/>
          </w:tcPr>
          <w:p w14:paraId="3F96DAA9">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高层次人才安家补助、租房补贴、岗位激励金</w:t>
            </w:r>
          </w:p>
        </w:tc>
        <w:tc>
          <w:tcPr>
            <w:tcW w:w="1980" w:type="dxa"/>
            <w:tcBorders>
              <w:top w:val="single" w:color="000000" w:sz="4" w:space="0"/>
              <w:left w:val="single" w:color="000000" w:sz="4" w:space="0"/>
              <w:bottom w:val="single" w:color="000000" w:sz="4" w:space="0"/>
              <w:right w:val="single" w:color="000000" w:sz="4" w:space="0"/>
            </w:tcBorders>
            <w:noWrap/>
            <w:vAlign w:val="center"/>
          </w:tcPr>
          <w:p w14:paraId="27B89D9D">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0.72</w:t>
            </w:r>
          </w:p>
        </w:tc>
        <w:tc>
          <w:tcPr>
            <w:tcW w:w="3876" w:type="dxa"/>
            <w:tcBorders>
              <w:top w:val="single" w:color="000000" w:sz="4" w:space="0"/>
              <w:left w:val="single" w:color="000000" w:sz="4" w:space="0"/>
              <w:bottom w:val="single" w:color="000000" w:sz="4" w:space="0"/>
              <w:right w:val="single" w:color="000000" w:sz="4" w:space="0"/>
            </w:tcBorders>
            <w:noWrap/>
            <w:vAlign w:val="center"/>
          </w:tcPr>
          <w:p w14:paraId="5324CB5B">
            <w:pPr>
              <w:widowControl/>
              <w:adjustRightInd w:val="0"/>
              <w:snapToGrid w:val="0"/>
              <w:spacing w:line="540" w:lineRule="exact"/>
              <w:ind w:firstLine="640" w:firstLineChars="200"/>
              <w:contextualSpacing/>
              <w:jc w:val="left"/>
              <w:rPr>
                <w:rFonts w:hint="eastAsia" w:ascii="仿宋" w:hAnsi="仿宋" w:eastAsia="仿宋" w:cs="仿宋_GB2312"/>
                <w:sz w:val="32"/>
                <w:szCs w:val="32"/>
                <w:lang w:val="en-US" w:eastAsia="zh-CN"/>
              </w:rPr>
            </w:pPr>
            <w:r>
              <w:rPr>
                <w:rFonts w:hint="eastAsia" w:ascii="仿宋" w:hAnsi="仿宋" w:eastAsia="仿宋" w:cs="仿宋_GB2312"/>
                <w:sz w:val="32"/>
                <w:szCs w:val="32"/>
                <w:lang w:val="en-US" w:eastAsia="zh-CN"/>
              </w:rPr>
              <w:t>吸引并留住高层次人才，优化师资结构，提升专业建设水平和教学科研能力，助力学校 “双师型” 教师队伍建设。</w:t>
            </w:r>
          </w:p>
        </w:tc>
      </w:tr>
    </w:tbl>
    <w:p w14:paraId="71F73E81">
      <w:pPr>
        <w:snapToGrid w:val="0"/>
        <w:spacing w:line="520" w:lineRule="exact"/>
        <w:ind w:firstLine="640" w:firstLineChars="200"/>
        <w:rPr>
          <w:rFonts w:hint="eastAsia" w:ascii="仿宋" w:hAnsi="仿宋" w:eastAsia="仿宋" w:cs="仿宋_GB2312"/>
          <w:sz w:val="32"/>
          <w:szCs w:val="32"/>
        </w:rPr>
      </w:pPr>
    </w:p>
    <w:p w14:paraId="1E7D6EB3">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default" w:ascii="Times New Roman" w:hAnsi="Times New Roman" w:eastAsia="仿宋_GB2312" w:cs="Times New Roman"/>
          <w:b w:val="0"/>
          <w:bCs w:val="0"/>
          <w:color w:val="000000"/>
          <w:kern w:val="0"/>
          <w:szCs w:val="32"/>
          <w:highlight w:val="none"/>
          <w:shd w:val="clear" w:color="auto" w:fill="FFFFFF"/>
          <w:lang w:val="en-US" w:eastAsia="zh-CN"/>
        </w:rPr>
      </w:pPr>
      <w:r>
        <w:rPr>
          <w:rFonts w:hint="default" w:ascii="Times New Roman" w:hAnsi="Times New Roman" w:eastAsia="楷体_GB2312" w:cs="Times New Roman"/>
          <w:b/>
          <w:bCs/>
          <w:color w:val="000000"/>
          <w:kern w:val="0"/>
          <w:sz w:val="32"/>
          <w:szCs w:val="32"/>
          <w:highlight w:val="none"/>
          <w:shd w:val="clear" w:color="auto" w:fill="FFFFFF"/>
          <w:lang w:val="zh-CN"/>
        </w:rPr>
        <w:t>（</w:t>
      </w:r>
      <w:r>
        <w:rPr>
          <w:rFonts w:hint="eastAsia" w:ascii="Times New Roman" w:hAnsi="Times New Roman" w:eastAsia="楷体_GB2312" w:cs="Times New Roman"/>
          <w:b/>
          <w:bCs/>
          <w:color w:val="000000"/>
          <w:kern w:val="0"/>
          <w:sz w:val="32"/>
          <w:szCs w:val="32"/>
          <w:highlight w:val="none"/>
          <w:shd w:val="clear" w:color="auto" w:fill="FFFFFF"/>
          <w:lang w:val="zh-CN"/>
        </w:rPr>
        <w:t>三</w:t>
      </w:r>
      <w:r>
        <w:rPr>
          <w:rFonts w:hint="default" w:ascii="Times New Roman" w:hAnsi="Times New Roman" w:eastAsia="楷体_GB2312" w:cs="Times New Roman"/>
          <w:b/>
          <w:bCs/>
          <w:color w:val="000000"/>
          <w:kern w:val="0"/>
          <w:sz w:val="32"/>
          <w:szCs w:val="32"/>
          <w:highlight w:val="none"/>
          <w:shd w:val="clear" w:color="auto" w:fill="FFFFFF"/>
          <w:lang w:val="zh-CN"/>
        </w:rPr>
        <w:t>）结余分配和结转结余情况</w:t>
      </w:r>
      <w:r>
        <w:rPr>
          <w:rFonts w:hint="eastAsia" w:ascii="Times New Roman" w:hAnsi="Times New Roman" w:eastAsia="楷体_GB2312" w:cs="Times New Roman"/>
          <w:b/>
          <w:bCs/>
          <w:color w:val="000000"/>
          <w:kern w:val="0"/>
          <w:sz w:val="32"/>
          <w:szCs w:val="32"/>
          <w:highlight w:val="none"/>
          <w:shd w:val="clear" w:color="auto" w:fill="FFFFFF"/>
          <w:lang w:val="zh-CN" w:eastAsia="zh-CN"/>
        </w:rPr>
        <w:t>。</w:t>
      </w:r>
      <w:r>
        <w:rPr>
          <w:rFonts w:hint="eastAsia" w:ascii="Times New Roman" w:hAnsi="Times New Roman" w:eastAsia="仿宋_GB2312" w:cs="Times New Roman"/>
          <w:sz w:val="32"/>
          <w:szCs w:val="32"/>
          <w:lang w:val="en-US" w:eastAsia="zh-CN"/>
        </w:rPr>
        <w:t>2024年</w:t>
      </w:r>
      <w:r>
        <w:rPr>
          <w:rFonts w:hint="eastAsia" w:eastAsia="仿宋_GB2312" w:cs="Times New Roman"/>
          <w:sz w:val="32"/>
          <w:szCs w:val="32"/>
          <w:lang w:val="en-US" w:eastAsia="zh-CN"/>
        </w:rPr>
        <w:t>无结余分配。</w:t>
      </w:r>
    </w:p>
    <w:p w14:paraId="64C0F0AC">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000000"/>
          <w:kern w:val="0"/>
          <w:sz w:val="32"/>
          <w:szCs w:val="32"/>
          <w:highlight w:val="none"/>
          <w:shd w:val="clear" w:color="auto" w:fill="FFFFFF"/>
          <w:lang w:val="zh-CN" w:eastAsia="zh-CN"/>
        </w:rPr>
      </w:pPr>
      <w:r>
        <w:rPr>
          <w:rFonts w:hint="default" w:ascii="Times New Roman" w:hAnsi="Times New Roman" w:eastAsia="黑体" w:cs="Times New Roman"/>
          <w:color w:val="000000"/>
          <w:kern w:val="0"/>
          <w:sz w:val="32"/>
          <w:szCs w:val="32"/>
          <w:highlight w:val="none"/>
          <w:shd w:val="clear" w:color="auto" w:fill="FFFFFF"/>
          <w:lang w:val="zh-CN" w:eastAsia="zh-CN"/>
        </w:rPr>
        <w:t>三、</w:t>
      </w:r>
      <w:r>
        <w:rPr>
          <w:rFonts w:hint="eastAsia" w:eastAsia="黑体" w:cs="Times New Roman"/>
          <w:color w:val="000000"/>
          <w:kern w:val="0"/>
          <w:sz w:val="32"/>
          <w:szCs w:val="32"/>
          <w:highlight w:val="none"/>
          <w:shd w:val="clear" w:color="auto" w:fill="FFFFFF"/>
          <w:lang w:val="en-US" w:eastAsia="zh-CN"/>
        </w:rPr>
        <w:t>单位</w:t>
      </w:r>
      <w:r>
        <w:rPr>
          <w:rFonts w:hint="default" w:ascii="Times New Roman" w:hAnsi="Times New Roman" w:eastAsia="黑体" w:cs="Times New Roman"/>
          <w:color w:val="000000"/>
          <w:kern w:val="0"/>
          <w:sz w:val="32"/>
          <w:szCs w:val="32"/>
          <w:highlight w:val="none"/>
          <w:shd w:val="clear" w:color="auto" w:fill="FFFFFF"/>
          <w:lang w:val="zh-CN" w:eastAsia="zh-CN"/>
        </w:rPr>
        <w:t>预算绩效分析</w:t>
      </w:r>
    </w:p>
    <w:p w14:paraId="40C2D6FB">
      <w:pPr>
        <w:adjustRightInd w:val="0"/>
        <w:snapToGrid w:val="0"/>
        <w:spacing w:line="540" w:lineRule="exact"/>
        <w:ind w:firstLine="643" w:firstLineChars="200"/>
        <w:contextualSpacing/>
        <w:jc w:val="left"/>
        <w:rPr>
          <w:rFonts w:hint="eastAsia" w:ascii="仿宋_GB2312" w:hAnsi="Times New Roman" w:eastAsia="仿宋_GB2312" w:cs="Times New Roman"/>
          <w:color w:val="000000"/>
          <w:kern w:val="0"/>
          <w:sz w:val="32"/>
          <w:szCs w:val="32"/>
          <w:shd w:val="clear" w:color="auto" w:fill="FFFFFF"/>
          <w:lang w:val="zh-CN"/>
        </w:rPr>
      </w:pPr>
      <w:r>
        <w:rPr>
          <w:rFonts w:hint="default" w:ascii="Times New Roman" w:hAnsi="Times New Roman" w:eastAsia="楷体_GB2312" w:cs="Times New Roman"/>
          <w:b/>
          <w:bCs/>
          <w:color w:val="000000"/>
          <w:kern w:val="0"/>
          <w:sz w:val="32"/>
          <w:szCs w:val="32"/>
          <w:highlight w:val="none"/>
          <w:shd w:val="clear" w:color="auto" w:fill="FFFFFF"/>
          <w:lang w:val="zh-CN"/>
        </w:rPr>
        <w:t>（一）</w:t>
      </w:r>
      <w:r>
        <w:rPr>
          <w:rFonts w:hint="eastAsia" w:ascii="Times New Roman" w:hAnsi="Times New Roman" w:eastAsia="楷体_GB2312" w:cs="Times New Roman"/>
          <w:b/>
          <w:bCs/>
          <w:color w:val="000000"/>
          <w:kern w:val="0"/>
          <w:sz w:val="32"/>
          <w:szCs w:val="32"/>
          <w:highlight w:val="none"/>
          <w:shd w:val="clear" w:color="auto" w:fill="FFFFFF"/>
          <w:lang w:val="zh-CN"/>
        </w:rPr>
        <w:t>部门预算</w:t>
      </w:r>
      <w:r>
        <w:rPr>
          <w:rFonts w:hint="default" w:ascii="Times New Roman" w:hAnsi="Times New Roman" w:eastAsia="楷体_GB2312" w:cs="Times New Roman"/>
          <w:b/>
          <w:bCs/>
          <w:color w:val="000000"/>
          <w:kern w:val="0"/>
          <w:sz w:val="32"/>
          <w:szCs w:val="32"/>
          <w:highlight w:val="none"/>
          <w:shd w:val="clear" w:color="auto" w:fill="FFFFFF"/>
          <w:lang w:val="zh-CN"/>
        </w:rPr>
        <w:t>总体绩效分析。</w:t>
      </w:r>
      <w:r>
        <w:rPr>
          <w:rFonts w:hint="eastAsia" w:ascii="Times New Roman" w:hAnsi="Times New Roman" w:eastAsia="仿宋_GB2312" w:cs="Times New Roman"/>
          <w:color w:val="000000"/>
          <w:kern w:val="0"/>
          <w:sz w:val="32"/>
          <w:szCs w:val="32"/>
          <w:shd w:val="clear" w:color="auto" w:fill="FFFFFF"/>
          <w:lang w:val="en-US" w:eastAsia="zh-CN"/>
        </w:rPr>
        <w:t>2024年</w:t>
      </w:r>
      <w:r>
        <w:rPr>
          <w:rFonts w:hint="eastAsia" w:ascii="Times New Roman" w:hAnsi="Times New Roman" w:eastAsia="仿宋_GB2312" w:cs="Times New Roman"/>
          <w:color w:val="000000"/>
          <w:kern w:val="0"/>
          <w:sz w:val="32"/>
          <w:szCs w:val="32"/>
          <w:shd w:val="clear" w:color="auto" w:fill="FFFFFF"/>
          <w:lang w:val="zh-CN"/>
        </w:rPr>
        <w:t>部门预算绩效自评</w:t>
      </w:r>
      <w:r>
        <w:rPr>
          <w:rFonts w:hint="eastAsia" w:ascii="Times New Roman" w:hAnsi="Times New Roman" w:eastAsia="仿宋_GB2312" w:cs="Times New Roman"/>
          <w:color w:val="000000"/>
          <w:kern w:val="0"/>
          <w:sz w:val="32"/>
          <w:szCs w:val="32"/>
          <w:shd w:val="clear" w:color="auto" w:fill="FFFFFF"/>
          <w:lang w:val="en-US" w:eastAsia="zh-CN"/>
        </w:rPr>
        <w:t>总得分79.71</w:t>
      </w:r>
      <w:r>
        <w:rPr>
          <w:rFonts w:hint="eastAsia" w:ascii="Times New Roman" w:hAnsi="Times New Roman" w:eastAsia="仿宋_GB2312" w:cs="Times New Roman"/>
          <w:color w:val="000000"/>
          <w:kern w:val="0"/>
          <w:sz w:val="32"/>
          <w:szCs w:val="32"/>
          <w:shd w:val="clear" w:color="auto" w:fill="FFFFFF"/>
          <w:lang w:val="zh-CN"/>
        </w:rPr>
        <w:t>分。</w:t>
      </w:r>
    </w:p>
    <w:p w14:paraId="0AAAB9E3">
      <w:pPr>
        <w:adjustRightInd w:val="0"/>
        <w:snapToGrid w:val="0"/>
        <w:spacing w:line="540" w:lineRule="exact"/>
        <w:ind w:firstLine="640" w:firstLineChars="200"/>
        <w:contextualSpacing/>
        <w:jc w:val="left"/>
        <w:rPr>
          <w:rFonts w:hint="eastAsia" w:ascii="Times New Roman" w:hAnsi="Times New Roman" w:eastAsia="仿宋_GB2312" w:cs="Times New Roman"/>
          <w:color w:val="000000"/>
          <w:kern w:val="0"/>
          <w:sz w:val="32"/>
          <w:szCs w:val="32"/>
          <w:shd w:val="clear" w:color="auto" w:fill="FFFFFF"/>
          <w:lang w:val="zh-CN"/>
        </w:rPr>
      </w:pPr>
      <w:r>
        <w:rPr>
          <w:rFonts w:hint="eastAsia" w:ascii="仿宋_GB2312" w:hAnsi="Times New Roman" w:eastAsia="仿宋_GB2312" w:cs="Times New Roman"/>
          <w:color w:val="000000"/>
          <w:kern w:val="0"/>
          <w:sz w:val="32"/>
          <w:szCs w:val="32"/>
          <w:shd w:val="clear" w:color="auto" w:fill="FFFFFF"/>
        </w:rPr>
        <w:t>1.</w:t>
      </w:r>
      <w:r>
        <w:rPr>
          <w:rFonts w:hint="eastAsia" w:ascii="仿宋_GB2312" w:hAnsi="Times New Roman" w:eastAsia="仿宋_GB2312" w:cs="Times New Roman"/>
          <w:color w:val="000000"/>
          <w:kern w:val="0"/>
          <w:sz w:val="32"/>
          <w:szCs w:val="32"/>
          <w:shd w:val="clear" w:color="auto" w:fill="FFFFFF"/>
          <w:lang w:val="zh-CN"/>
        </w:rPr>
        <w:t>履职效能。</w:t>
      </w:r>
      <w:r>
        <w:rPr>
          <w:rFonts w:hint="eastAsia" w:ascii="Times New Roman" w:hAnsi="Times New Roman" w:eastAsia="仿宋_GB2312" w:cs="Times New Roman"/>
          <w:color w:val="000000"/>
          <w:kern w:val="0"/>
          <w:sz w:val="32"/>
          <w:szCs w:val="32"/>
          <w:shd w:val="clear" w:color="auto" w:fill="FFFFFF"/>
          <w:lang w:val="zh-CN"/>
        </w:rPr>
        <w:t>核心职能目标总体完成较好，但部分项目存在进度延迟或个别指标未达预期的情况，导致扣 3 分，最终得 12 分。</w:t>
      </w:r>
    </w:p>
    <w:p w14:paraId="27813CA4">
      <w:pPr>
        <w:adjustRightInd w:val="0"/>
        <w:snapToGrid w:val="0"/>
        <w:spacing w:line="540" w:lineRule="exact"/>
        <w:ind w:firstLine="640" w:firstLineChars="200"/>
        <w:contextualSpacing/>
        <w:jc w:val="left"/>
        <w:rPr>
          <w:rFonts w:hint="eastAsia" w:ascii="Times New Roman" w:hAnsi="Times New Roman" w:eastAsia="仿宋_GB2312" w:cs="Times New Roman"/>
          <w:color w:val="000000"/>
          <w:kern w:val="0"/>
          <w:sz w:val="32"/>
          <w:szCs w:val="32"/>
          <w:shd w:val="clear" w:color="auto" w:fill="FFFFFF"/>
          <w:lang w:val="zh-CN"/>
        </w:rPr>
      </w:pPr>
      <w:r>
        <w:rPr>
          <w:rFonts w:hint="eastAsia" w:ascii="仿宋_GB2312" w:hAnsi="Times New Roman" w:eastAsia="仿宋_GB2312" w:cs="Times New Roman"/>
          <w:color w:val="000000"/>
          <w:kern w:val="0"/>
          <w:sz w:val="32"/>
          <w:szCs w:val="32"/>
          <w:shd w:val="clear" w:color="auto" w:fill="FFFFFF"/>
        </w:rPr>
        <w:t>2.</w:t>
      </w:r>
      <w:r>
        <w:rPr>
          <w:rFonts w:hint="eastAsia" w:ascii="仿宋_GB2312" w:hAnsi="Times New Roman" w:eastAsia="仿宋_GB2312" w:cs="Times New Roman"/>
          <w:color w:val="000000"/>
          <w:kern w:val="0"/>
          <w:sz w:val="32"/>
          <w:szCs w:val="32"/>
          <w:shd w:val="clear" w:color="auto" w:fill="FFFFFF"/>
          <w:lang w:val="zh-CN"/>
        </w:rPr>
        <w:t>预算管理</w:t>
      </w:r>
      <w:r>
        <w:rPr>
          <w:rFonts w:hint="eastAsia" w:ascii="Times New Roman" w:hAnsi="Times New Roman" w:eastAsia="仿宋_GB2312" w:cs="Times New Roman"/>
          <w:color w:val="000000"/>
          <w:kern w:val="0"/>
          <w:sz w:val="32"/>
          <w:szCs w:val="32"/>
          <w:shd w:val="clear" w:color="auto" w:fill="FFFFFF"/>
          <w:lang w:val="zh-CN"/>
        </w:rPr>
        <w:t>。预算管理在执行率和结余管理方面表现较好，但预算执行的及时性和</w:t>
      </w:r>
      <w:r>
        <w:rPr>
          <w:rFonts w:hint="eastAsia" w:ascii="Times New Roman" w:hAnsi="Times New Roman" w:eastAsia="仿宋_GB2312" w:cs="Times New Roman"/>
          <w:color w:val="000000"/>
          <w:kern w:val="0"/>
          <w:sz w:val="32"/>
          <w:szCs w:val="32"/>
          <w:shd w:val="clear" w:color="auto" w:fill="FFFFFF"/>
          <w:lang w:val="en-US" w:eastAsia="zh-CN"/>
        </w:rPr>
        <w:t>预算年终结余等</w:t>
      </w:r>
      <w:r>
        <w:rPr>
          <w:rFonts w:hint="eastAsia" w:ascii="Times New Roman" w:hAnsi="Times New Roman" w:eastAsia="仿宋_GB2312" w:cs="Times New Roman"/>
          <w:color w:val="000000"/>
          <w:kern w:val="0"/>
          <w:sz w:val="32"/>
          <w:szCs w:val="32"/>
          <w:shd w:val="clear" w:color="auto" w:fill="FFFFFF"/>
          <w:lang w:val="zh-CN"/>
        </w:rPr>
        <w:t>存在不足，导致扣 5.69 分，最终得 19.31 分。</w:t>
      </w:r>
    </w:p>
    <w:p w14:paraId="0E5D4F16">
      <w:pPr>
        <w:adjustRightInd w:val="0"/>
        <w:snapToGrid w:val="0"/>
        <w:spacing w:line="540" w:lineRule="exact"/>
        <w:ind w:firstLine="640" w:firstLineChars="200"/>
        <w:contextualSpacing/>
        <w:jc w:val="left"/>
        <w:rPr>
          <w:rFonts w:hint="eastAsia" w:ascii="Times New Roman" w:hAnsi="Times New Roman" w:eastAsia="仿宋_GB2312" w:cs="Times New Roman"/>
          <w:color w:val="000000"/>
          <w:kern w:val="0"/>
          <w:sz w:val="32"/>
          <w:szCs w:val="32"/>
          <w:shd w:val="clear" w:color="auto" w:fill="FFFFFF"/>
          <w:lang w:val="zh-CN"/>
        </w:rPr>
      </w:pPr>
      <w:r>
        <w:rPr>
          <w:rFonts w:hint="eastAsia" w:ascii="仿宋_GB2312" w:hAnsi="Times New Roman" w:eastAsia="仿宋_GB2312" w:cs="Times New Roman"/>
          <w:color w:val="000000"/>
          <w:kern w:val="0"/>
          <w:sz w:val="32"/>
          <w:szCs w:val="32"/>
          <w:shd w:val="clear" w:color="auto" w:fill="FFFFFF"/>
        </w:rPr>
        <w:t>3.</w:t>
      </w:r>
      <w:r>
        <w:rPr>
          <w:rFonts w:hint="eastAsia" w:ascii="仿宋_GB2312" w:hAnsi="Times New Roman" w:eastAsia="仿宋_GB2312" w:cs="Times New Roman"/>
          <w:color w:val="000000"/>
          <w:kern w:val="0"/>
          <w:sz w:val="32"/>
          <w:szCs w:val="32"/>
          <w:shd w:val="clear" w:color="auto" w:fill="FFFFFF"/>
          <w:lang w:val="zh-CN"/>
        </w:rPr>
        <w:t>财务</w:t>
      </w:r>
      <w:r>
        <w:rPr>
          <w:rFonts w:hint="eastAsia" w:ascii="Times New Roman" w:hAnsi="Times New Roman" w:eastAsia="仿宋_GB2312" w:cs="Times New Roman"/>
          <w:color w:val="000000"/>
          <w:kern w:val="0"/>
          <w:sz w:val="32"/>
          <w:szCs w:val="32"/>
          <w:shd w:val="clear" w:color="auto" w:fill="FFFFFF"/>
          <w:lang w:val="zh-CN"/>
        </w:rPr>
        <w:t>管理。财务管理在制度建设、岗位设置和资金使用等方面均严格按照规定执行，无任何违规情况，表现优异，得满分 10 分。</w:t>
      </w:r>
    </w:p>
    <w:p w14:paraId="3E7DBB9D">
      <w:pPr>
        <w:adjustRightInd w:val="0"/>
        <w:snapToGrid w:val="0"/>
        <w:spacing w:line="540" w:lineRule="exact"/>
        <w:ind w:firstLine="640" w:firstLineChars="200"/>
        <w:contextualSpacing/>
        <w:jc w:val="left"/>
        <w:rPr>
          <w:rFonts w:hint="eastAsia" w:ascii="Times New Roman" w:hAnsi="Times New Roman" w:eastAsia="仿宋_GB2312" w:cs="Times New Roman"/>
          <w:color w:val="000000"/>
          <w:kern w:val="0"/>
          <w:sz w:val="32"/>
          <w:szCs w:val="32"/>
          <w:shd w:val="clear" w:color="auto" w:fill="FFFFFF"/>
          <w:lang w:val="zh-CN"/>
        </w:rPr>
      </w:pPr>
      <w:r>
        <w:rPr>
          <w:rFonts w:hint="eastAsia" w:ascii="仿宋_GB2312" w:hAnsi="Times New Roman" w:eastAsia="仿宋_GB2312" w:cs="Times New Roman"/>
          <w:color w:val="000000"/>
          <w:kern w:val="0"/>
          <w:sz w:val="32"/>
          <w:szCs w:val="32"/>
          <w:shd w:val="clear" w:color="auto" w:fill="FFFFFF"/>
        </w:rPr>
        <w:t>4.</w:t>
      </w:r>
      <w:r>
        <w:rPr>
          <w:rFonts w:hint="eastAsia" w:ascii="仿宋_GB2312" w:hAnsi="Times New Roman" w:eastAsia="仿宋_GB2312" w:cs="Times New Roman"/>
          <w:color w:val="000000"/>
          <w:kern w:val="0"/>
          <w:sz w:val="32"/>
          <w:szCs w:val="32"/>
          <w:shd w:val="clear" w:color="auto" w:fill="FFFFFF"/>
          <w:lang w:val="zh-CN"/>
        </w:rPr>
        <w:t>资</w:t>
      </w:r>
      <w:r>
        <w:rPr>
          <w:rFonts w:hint="eastAsia" w:ascii="Times New Roman" w:hAnsi="Times New Roman" w:eastAsia="仿宋_GB2312" w:cs="Times New Roman"/>
          <w:color w:val="000000"/>
          <w:kern w:val="0"/>
          <w:sz w:val="32"/>
          <w:szCs w:val="32"/>
          <w:shd w:val="clear" w:color="auto" w:fill="FFFFFF"/>
          <w:lang w:val="zh-CN"/>
        </w:rPr>
        <w:t>产管理。资产管理在人均资产变化率方面存在一定不足，但资产利用率表现良好，综合扣 0.6 分，最终得 5.4 分。</w:t>
      </w:r>
    </w:p>
    <w:p w14:paraId="62C9F747">
      <w:pPr>
        <w:adjustRightInd w:val="0"/>
        <w:snapToGrid w:val="0"/>
        <w:spacing w:line="540" w:lineRule="exact"/>
        <w:ind w:firstLine="640" w:firstLineChars="200"/>
        <w:contextualSpacing/>
        <w:jc w:val="left"/>
        <w:rPr>
          <w:rFonts w:hint="eastAsia" w:ascii="Times New Roman" w:hAnsi="Times New Roman" w:eastAsia="仿宋_GB2312" w:cs="仿宋_GB2312"/>
          <w:color w:val="auto"/>
          <w:kern w:val="2"/>
          <w:sz w:val="32"/>
          <w:szCs w:val="32"/>
          <w:highlight w:val="none"/>
          <w:lang w:val="zh-CN" w:eastAsia="zh-CN" w:bidi="ar-SA"/>
        </w:rPr>
      </w:pPr>
      <w:r>
        <w:rPr>
          <w:rFonts w:hint="eastAsia" w:ascii="Times New Roman" w:hAnsi="Times New Roman" w:eastAsia="仿宋_GB2312" w:cs="Times New Roman"/>
          <w:color w:val="000000"/>
          <w:kern w:val="0"/>
          <w:sz w:val="32"/>
          <w:szCs w:val="32"/>
          <w:shd w:val="clear" w:color="auto" w:fill="FFFFFF"/>
          <w:lang w:val="zh-CN"/>
        </w:rPr>
        <w:t>5.采购</w:t>
      </w:r>
      <w:r>
        <w:rPr>
          <w:rFonts w:hint="eastAsia" w:ascii="仿宋_GB2312" w:hAnsi="Times New Roman" w:eastAsia="仿宋_GB2312" w:cs="Times New Roman"/>
          <w:color w:val="000000"/>
          <w:kern w:val="0"/>
          <w:sz w:val="32"/>
          <w:szCs w:val="32"/>
          <w:shd w:val="clear" w:color="auto" w:fill="FFFFFF"/>
          <w:lang w:val="zh-CN"/>
        </w:rPr>
        <w:t>管理。</w:t>
      </w:r>
      <w:r>
        <w:rPr>
          <w:rFonts w:hint="eastAsia" w:ascii="Times New Roman" w:hAnsi="Times New Roman" w:eastAsia="仿宋_GB2312" w:cs="Times New Roman"/>
          <w:color w:val="000000"/>
          <w:kern w:val="0"/>
          <w:sz w:val="32"/>
          <w:szCs w:val="32"/>
          <w:shd w:val="clear" w:color="auto" w:fill="FFFFFF"/>
          <w:lang w:val="zh-CN"/>
        </w:rPr>
        <w:t>采购管理在支持中小企业发展和采购执行率方面均未完全达到目标，存在区域支持力度不足和执行进度延迟的问题，扣 2 分，最终得 4 分。</w:t>
      </w:r>
    </w:p>
    <w:p w14:paraId="2C2AA865">
      <w:pPr>
        <w:keepNext w:val="0"/>
        <w:keepLines w:val="0"/>
        <w:pageBreakBefore w:val="0"/>
        <w:widowControl w:val="0"/>
        <w:numPr>
          <w:ilvl w:val="0"/>
          <w:numId w:val="0"/>
        </w:numPr>
        <w:kinsoku/>
        <w:wordWrap/>
        <w:overflowPunct/>
        <w:topLinePunct w:val="0"/>
        <w:autoSpaceDE/>
        <w:autoSpaceDN/>
        <w:bidi w:val="0"/>
        <w:adjustRightInd w:val="0"/>
        <w:snapToGrid w:val="0"/>
        <w:spacing w:line="578" w:lineRule="exact"/>
        <w:ind w:firstLine="643" w:firstLineChars="200"/>
        <w:contextualSpacing/>
        <w:jc w:val="both"/>
        <w:textAlignment w:val="auto"/>
        <w:outlineLvl w:val="9"/>
        <w:rPr>
          <w:rFonts w:hint="eastAsia" w:ascii="Times New Roman" w:hAnsi="Times New Roman" w:eastAsia="仿宋_GB2312" w:cs="仿宋_GB2312"/>
          <w:color w:val="auto"/>
          <w:kern w:val="2"/>
          <w:sz w:val="32"/>
          <w:szCs w:val="32"/>
          <w:highlight w:val="none"/>
          <w:lang w:val="en-US" w:eastAsia="zh-CN" w:bidi="ar-SA"/>
        </w:rPr>
      </w:pPr>
      <w:r>
        <w:rPr>
          <w:rFonts w:hint="default" w:ascii="Times New Roman" w:hAnsi="Times New Roman" w:eastAsia="楷体_GB2312" w:cs="Times New Roman"/>
          <w:b/>
          <w:bCs/>
          <w:color w:val="000000"/>
          <w:kern w:val="0"/>
          <w:sz w:val="32"/>
          <w:szCs w:val="32"/>
          <w:highlight w:val="none"/>
          <w:shd w:val="clear" w:color="auto" w:fill="FFFFFF"/>
          <w:lang w:val="zh-CN"/>
        </w:rPr>
        <w:t>（二）部门预算项目绩效分析。</w:t>
      </w:r>
    </w:p>
    <w:p w14:paraId="75F99F56">
      <w:pPr>
        <w:adjustRightInd w:val="0"/>
        <w:snapToGrid w:val="0"/>
        <w:spacing w:line="540" w:lineRule="exact"/>
        <w:ind w:firstLine="640" w:firstLineChars="200"/>
        <w:contextualSpacing/>
        <w:jc w:val="left"/>
        <w:rPr>
          <w:rFonts w:hint="eastAsia" w:ascii="仿宋_GB2312" w:hAnsi="Times New Roman" w:eastAsia="仿宋_GB2312" w:cs="Times New Roman"/>
          <w:color w:val="000000"/>
          <w:kern w:val="0"/>
          <w:sz w:val="32"/>
          <w:szCs w:val="32"/>
          <w:shd w:val="clear" w:color="auto" w:fill="FFFFFF"/>
          <w:lang w:val="zh-CN"/>
        </w:rPr>
      </w:pPr>
      <w:r>
        <w:rPr>
          <w:rFonts w:hint="eastAsia" w:ascii="仿宋_GB2312" w:hAnsi="Times New Roman" w:eastAsia="仿宋_GB2312" w:cs="Times New Roman"/>
          <w:color w:val="000000"/>
          <w:kern w:val="0"/>
          <w:sz w:val="32"/>
          <w:szCs w:val="32"/>
          <w:shd w:val="clear" w:color="auto" w:fill="FFFFFF"/>
        </w:rPr>
        <w:t>常年项目绩效分析。</w:t>
      </w:r>
      <w:r>
        <w:rPr>
          <w:rFonts w:hint="eastAsia" w:ascii="仿宋_GB2312" w:hAnsi="Times New Roman" w:eastAsia="仿宋_GB2312" w:cs="Times New Roman"/>
          <w:color w:val="000000"/>
          <w:kern w:val="0"/>
          <w:sz w:val="32"/>
          <w:szCs w:val="32"/>
          <w:shd w:val="clear" w:color="auto" w:fill="FFFFFF"/>
          <w:lang w:val="zh-CN"/>
        </w:rPr>
        <w:t>该类项目总数</w:t>
      </w:r>
      <w:r>
        <w:rPr>
          <w:rFonts w:hint="eastAsia" w:ascii="仿宋_GB2312" w:hAnsi="Times New Roman" w:eastAsia="仿宋_GB2312" w:cs="Times New Roman"/>
          <w:color w:val="000000"/>
          <w:kern w:val="0"/>
          <w:sz w:val="32"/>
          <w:szCs w:val="32"/>
          <w:shd w:val="clear" w:color="auto" w:fill="FFFFFF"/>
        </w:rPr>
        <w:t xml:space="preserve"> </w:t>
      </w:r>
      <w:r>
        <w:rPr>
          <w:rFonts w:hint="eastAsia" w:ascii="仿宋_GB2312" w:hAnsi="Times New Roman" w:eastAsia="仿宋_GB2312" w:cs="Times New Roman"/>
          <w:color w:val="000000"/>
          <w:kern w:val="0"/>
          <w:sz w:val="32"/>
          <w:szCs w:val="32"/>
          <w:shd w:val="clear" w:color="auto" w:fill="FFFFFF"/>
          <w:lang w:val="en-US" w:eastAsia="zh-CN"/>
        </w:rPr>
        <w:t>6</w:t>
      </w:r>
      <w:r>
        <w:rPr>
          <w:rFonts w:hint="eastAsia" w:ascii="仿宋_GB2312" w:hAnsi="Times New Roman" w:eastAsia="仿宋_GB2312" w:cs="Times New Roman"/>
          <w:color w:val="000000"/>
          <w:kern w:val="0"/>
          <w:sz w:val="32"/>
          <w:szCs w:val="32"/>
          <w:shd w:val="clear" w:color="auto" w:fill="FFFFFF"/>
          <w:lang w:val="zh-CN"/>
        </w:rPr>
        <w:t>个，涉及预算总金额</w:t>
      </w:r>
      <w:r>
        <w:rPr>
          <w:rFonts w:hint="eastAsia" w:ascii="仿宋_GB2312" w:hAnsi="Times New Roman" w:eastAsia="仿宋_GB2312" w:cs="Times New Roman"/>
          <w:color w:val="000000"/>
          <w:kern w:val="0"/>
          <w:sz w:val="32"/>
          <w:szCs w:val="32"/>
          <w:shd w:val="clear" w:color="auto" w:fill="FFFFFF"/>
          <w:lang w:val="en-US" w:eastAsia="zh-CN"/>
        </w:rPr>
        <w:t>1545.32</w:t>
      </w:r>
      <w:r>
        <w:rPr>
          <w:rFonts w:hint="eastAsia" w:ascii="仿宋_GB2312" w:hAnsi="Times New Roman" w:eastAsia="仿宋_GB2312" w:cs="Times New Roman"/>
          <w:color w:val="000000"/>
          <w:kern w:val="0"/>
          <w:sz w:val="32"/>
          <w:szCs w:val="32"/>
          <w:shd w:val="clear" w:color="auto" w:fill="FFFFFF"/>
          <w:lang w:val="zh-CN"/>
        </w:rPr>
        <w:t>万元，1—1</w:t>
      </w:r>
      <w:r>
        <w:rPr>
          <w:rFonts w:hint="eastAsia" w:ascii="仿宋_GB2312" w:hAnsi="Times New Roman" w:eastAsia="仿宋_GB2312" w:cs="Times New Roman"/>
          <w:color w:val="000000"/>
          <w:kern w:val="0"/>
          <w:sz w:val="32"/>
          <w:szCs w:val="32"/>
          <w:shd w:val="clear" w:color="auto" w:fill="FFFFFF"/>
        </w:rPr>
        <w:t>2</w:t>
      </w:r>
      <w:r>
        <w:rPr>
          <w:rFonts w:hint="eastAsia" w:ascii="仿宋_GB2312" w:hAnsi="Times New Roman" w:eastAsia="仿宋_GB2312" w:cs="Times New Roman"/>
          <w:color w:val="000000"/>
          <w:kern w:val="0"/>
          <w:sz w:val="32"/>
          <w:szCs w:val="32"/>
          <w:shd w:val="clear" w:color="auto" w:fill="FFFFFF"/>
          <w:lang w:val="zh-CN"/>
        </w:rPr>
        <w:t>月预算执行总体进度为</w:t>
      </w:r>
      <w:r>
        <w:rPr>
          <w:rFonts w:hint="eastAsia" w:ascii="仿宋_GB2312" w:hAnsi="Times New Roman" w:eastAsia="仿宋_GB2312" w:cs="Times New Roman"/>
          <w:color w:val="000000"/>
          <w:kern w:val="0"/>
          <w:sz w:val="32"/>
          <w:szCs w:val="32"/>
          <w:shd w:val="clear" w:color="auto" w:fill="FFFFFF"/>
          <w:lang w:val="en-US" w:eastAsia="zh-CN"/>
        </w:rPr>
        <w:t>100</w:t>
      </w:r>
      <w:r>
        <w:rPr>
          <w:rFonts w:hint="eastAsia" w:ascii="仿宋_GB2312" w:hAnsi="Times New Roman" w:eastAsia="仿宋_GB2312" w:cs="Times New Roman"/>
          <w:color w:val="000000"/>
          <w:kern w:val="0"/>
          <w:sz w:val="32"/>
          <w:szCs w:val="32"/>
          <w:shd w:val="clear" w:color="auto" w:fill="FFFFFF"/>
          <w:lang w:val="zh-CN"/>
        </w:rPr>
        <w:t>%，其中：预算结余率大于</w:t>
      </w:r>
      <w:r>
        <w:rPr>
          <w:rFonts w:hint="eastAsia" w:ascii="仿宋_GB2312" w:hAnsi="Times New Roman" w:eastAsia="仿宋_GB2312" w:cs="Times New Roman"/>
          <w:color w:val="000000"/>
          <w:kern w:val="0"/>
          <w:sz w:val="32"/>
          <w:szCs w:val="32"/>
          <w:shd w:val="clear" w:color="auto" w:fill="FFFFFF"/>
        </w:rPr>
        <w:t>10%</w:t>
      </w:r>
      <w:r>
        <w:rPr>
          <w:rFonts w:hint="eastAsia" w:ascii="仿宋_GB2312" w:hAnsi="Times New Roman" w:eastAsia="仿宋_GB2312" w:cs="Times New Roman"/>
          <w:color w:val="000000"/>
          <w:kern w:val="0"/>
          <w:sz w:val="32"/>
          <w:szCs w:val="32"/>
          <w:shd w:val="clear" w:color="auto" w:fill="FFFFFF"/>
          <w:lang w:val="zh-CN"/>
        </w:rPr>
        <w:t>的项目共计</w:t>
      </w:r>
      <w:r>
        <w:rPr>
          <w:rFonts w:hint="eastAsia" w:ascii="仿宋_GB2312" w:hAnsi="Times New Roman" w:eastAsia="仿宋_GB2312" w:cs="Times New Roman"/>
          <w:color w:val="000000"/>
          <w:kern w:val="0"/>
          <w:sz w:val="32"/>
          <w:szCs w:val="32"/>
          <w:shd w:val="clear" w:color="auto" w:fill="FFFFFF"/>
          <w:lang w:val="en-US" w:eastAsia="zh-CN"/>
        </w:rPr>
        <w:t>0</w:t>
      </w:r>
      <w:r>
        <w:rPr>
          <w:rFonts w:hint="eastAsia" w:ascii="仿宋_GB2312" w:hAnsi="Times New Roman" w:eastAsia="仿宋_GB2312" w:cs="Times New Roman"/>
          <w:color w:val="000000"/>
          <w:kern w:val="0"/>
          <w:sz w:val="32"/>
          <w:szCs w:val="32"/>
          <w:shd w:val="clear" w:color="auto" w:fill="FFFFFF"/>
          <w:lang w:val="zh-CN"/>
        </w:rPr>
        <w:t>个。</w:t>
      </w:r>
    </w:p>
    <w:p w14:paraId="5310AFF7">
      <w:pPr>
        <w:adjustRightInd w:val="0"/>
        <w:snapToGrid w:val="0"/>
        <w:spacing w:line="540" w:lineRule="exact"/>
        <w:ind w:firstLine="640" w:firstLineChars="200"/>
        <w:contextualSpacing/>
        <w:jc w:val="left"/>
        <w:rPr>
          <w:rFonts w:hint="eastAsia" w:ascii="仿宋_GB2312" w:hAnsi="Times New Roman" w:eastAsia="仿宋_GB2312" w:cs="Times New Roman"/>
          <w:color w:val="000000"/>
          <w:kern w:val="0"/>
          <w:sz w:val="32"/>
          <w:szCs w:val="32"/>
          <w:shd w:val="clear" w:color="auto" w:fill="FFFFFF"/>
          <w:lang w:val="zh-CN"/>
        </w:rPr>
      </w:pPr>
      <w:r>
        <w:rPr>
          <w:rFonts w:hint="eastAsia" w:ascii="仿宋_GB2312" w:hAnsi="Times New Roman" w:eastAsia="仿宋_GB2312" w:cs="Times New Roman"/>
          <w:color w:val="000000"/>
          <w:kern w:val="0"/>
          <w:sz w:val="32"/>
          <w:szCs w:val="32"/>
          <w:shd w:val="clear" w:color="auto" w:fill="FFFFFF"/>
        </w:rPr>
        <w:t>阶段（含一次性）项目绩效分析。</w:t>
      </w:r>
      <w:r>
        <w:rPr>
          <w:rFonts w:hint="eastAsia" w:ascii="仿宋_GB2312" w:hAnsi="Times New Roman" w:eastAsia="仿宋_GB2312" w:cs="Times New Roman"/>
          <w:color w:val="000000"/>
          <w:kern w:val="0"/>
          <w:sz w:val="32"/>
          <w:szCs w:val="32"/>
          <w:shd w:val="clear" w:color="auto" w:fill="FFFFFF"/>
          <w:lang w:val="zh-CN"/>
        </w:rPr>
        <w:t>该类项目总数</w:t>
      </w:r>
      <w:r>
        <w:rPr>
          <w:rFonts w:hint="eastAsia" w:ascii="仿宋_GB2312" w:hAnsi="Times New Roman" w:eastAsia="仿宋_GB2312" w:cs="Times New Roman"/>
          <w:color w:val="000000"/>
          <w:kern w:val="0"/>
          <w:sz w:val="32"/>
          <w:szCs w:val="32"/>
          <w:shd w:val="clear" w:color="auto" w:fill="FFFFFF"/>
          <w:lang w:val="en-US" w:eastAsia="zh-CN"/>
        </w:rPr>
        <w:t>6</w:t>
      </w:r>
      <w:r>
        <w:rPr>
          <w:rFonts w:hint="eastAsia" w:ascii="仿宋_GB2312" w:hAnsi="Times New Roman" w:eastAsia="仿宋_GB2312" w:cs="Times New Roman"/>
          <w:color w:val="000000"/>
          <w:kern w:val="0"/>
          <w:sz w:val="32"/>
          <w:szCs w:val="32"/>
          <w:shd w:val="clear" w:color="auto" w:fill="FFFFFF"/>
          <w:lang w:val="zh-CN"/>
        </w:rPr>
        <w:t>个，涉及预算总金额</w:t>
      </w:r>
      <w:r>
        <w:rPr>
          <w:rFonts w:hint="eastAsia" w:ascii="仿宋_GB2312" w:hAnsi="Times New Roman" w:eastAsia="仿宋_GB2312" w:cs="Times New Roman"/>
          <w:color w:val="000000"/>
          <w:kern w:val="0"/>
          <w:sz w:val="32"/>
          <w:szCs w:val="32"/>
          <w:shd w:val="clear" w:color="auto" w:fill="FFFFFF"/>
          <w:lang w:val="en-US" w:eastAsia="zh-CN"/>
        </w:rPr>
        <w:t>255.86</w:t>
      </w:r>
      <w:r>
        <w:rPr>
          <w:rFonts w:hint="eastAsia" w:ascii="仿宋_GB2312" w:hAnsi="Times New Roman" w:eastAsia="仿宋_GB2312" w:cs="Times New Roman"/>
          <w:color w:val="000000"/>
          <w:kern w:val="0"/>
          <w:sz w:val="32"/>
          <w:szCs w:val="32"/>
          <w:shd w:val="clear" w:color="auto" w:fill="FFFFFF"/>
          <w:lang w:val="zh-CN"/>
        </w:rPr>
        <w:t>万元，1—1</w:t>
      </w:r>
      <w:r>
        <w:rPr>
          <w:rFonts w:hint="eastAsia" w:ascii="仿宋_GB2312" w:hAnsi="Times New Roman" w:eastAsia="仿宋_GB2312" w:cs="Times New Roman"/>
          <w:color w:val="000000"/>
          <w:kern w:val="0"/>
          <w:sz w:val="32"/>
          <w:szCs w:val="32"/>
          <w:shd w:val="clear" w:color="auto" w:fill="FFFFFF"/>
        </w:rPr>
        <w:t>2</w:t>
      </w:r>
      <w:r>
        <w:rPr>
          <w:rFonts w:hint="eastAsia" w:ascii="仿宋_GB2312" w:hAnsi="Times New Roman" w:eastAsia="仿宋_GB2312" w:cs="Times New Roman"/>
          <w:color w:val="000000"/>
          <w:kern w:val="0"/>
          <w:sz w:val="32"/>
          <w:szCs w:val="32"/>
          <w:shd w:val="clear" w:color="auto" w:fill="FFFFFF"/>
          <w:lang w:val="zh-CN"/>
        </w:rPr>
        <w:t>月预算执行总体进度为</w:t>
      </w:r>
      <w:r>
        <w:rPr>
          <w:rFonts w:hint="eastAsia" w:ascii="仿宋_GB2312" w:hAnsi="Times New Roman" w:eastAsia="仿宋_GB2312" w:cs="Times New Roman"/>
          <w:color w:val="000000"/>
          <w:kern w:val="0"/>
          <w:sz w:val="32"/>
          <w:szCs w:val="32"/>
          <w:shd w:val="clear" w:color="auto" w:fill="FFFFFF"/>
          <w:lang w:val="en-US" w:eastAsia="zh-CN"/>
        </w:rPr>
        <w:t>100</w:t>
      </w:r>
      <w:r>
        <w:rPr>
          <w:rFonts w:hint="eastAsia" w:ascii="仿宋_GB2312" w:hAnsi="Times New Roman" w:eastAsia="仿宋_GB2312" w:cs="Times New Roman"/>
          <w:color w:val="000000"/>
          <w:kern w:val="0"/>
          <w:sz w:val="32"/>
          <w:szCs w:val="32"/>
          <w:shd w:val="clear" w:color="auto" w:fill="FFFFFF"/>
          <w:lang w:val="zh-CN"/>
        </w:rPr>
        <w:t>%，其中：预算结余率大于</w:t>
      </w:r>
      <w:r>
        <w:rPr>
          <w:rFonts w:hint="eastAsia" w:ascii="仿宋_GB2312" w:hAnsi="Times New Roman" w:eastAsia="仿宋_GB2312" w:cs="Times New Roman"/>
          <w:color w:val="000000"/>
          <w:kern w:val="0"/>
          <w:sz w:val="32"/>
          <w:szCs w:val="32"/>
          <w:shd w:val="clear" w:color="auto" w:fill="FFFFFF"/>
        </w:rPr>
        <w:t>10%</w:t>
      </w:r>
      <w:r>
        <w:rPr>
          <w:rFonts w:hint="eastAsia" w:ascii="仿宋_GB2312" w:hAnsi="Times New Roman" w:eastAsia="仿宋_GB2312" w:cs="Times New Roman"/>
          <w:color w:val="000000"/>
          <w:kern w:val="0"/>
          <w:sz w:val="32"/>
          <w:szCs w:val="32"/>
          <w:shd w:val="clear" w:color="auto" w:fill="FFFFFF"/>
          <w:lang w:val="zh-CN"/>
        </w:rPr>
        <w:t>的项目共计</w:t>
      </w:r>
      <w:r>
        <w:rPr>
          <w:rFonts w:hint="eastAsia" w:ascii="仿宋_GB2312" w:hAnsi="Times New Roman" w:eastAsia="仿宋_GB2312" w:cs="Times New Roman"/>
          <w:color w:val="000000"/>
          <w:kern w:val="0"/>
          <w:sz w:val="32"/>
          <w:szCs w:val="32"/>
          <w:shd w:val="clear" w:color="auto" w:fill="FFFFFF"/>
          <w:lang w:val="en-US" w:eastAsia="zh-CN"/>
        </w:rPr>
        <w:t>0</w:t>
      </w:r>
      <w:r>
        <w:rPr>
          <w:rFonts w:hint="eastAsia" w:ascii="仿宋_GB2312" w:hAnsi="Times New Roman" w:eastAsia="仿宋_GB2312" w:cs="Times New Roman"/>
          <w:color w:val="000000"/>
          <w:kern w:val="0"/>
          <w:sz w:val="32"/>
          <w:szCs w:val="32"/>
          <w:shd w:val="clear" w:color="auto" w:fill="FFFFFF"/>
          <w:lang w:val="zh-CN"/>
        </w:rPr>
        <w:t>个。</w:t>
      </w:r>
    </w:p>
    <w:p w14:paraId="39E560E0">
      <w:pPr>
        <w:adjustRightInd w:val="0"/>
        <w:snapToGrid w:val="0"/>
        <w:spacing w:line="540" w:lineRule="exact"/>
        <w:ind w:firstLine="640" w:firstLineChars="200"/>
        <w:contextualSpacing/>
        <w:jc w:val="left"/>
        <w:rPr>
          <w:rFonts w:hint="eastAsia" w:ascii="仿宋_GB2312" w:hAnsi="Times New Roman" w:eastAsia="仿宋_GB2312" w:cs="Times New Roman"/>
          <w:color w:val="000000"/>
          <w:kern w:val="0"/>
          <w:sz w:val="32"/>
          <w:szCs w:val="32"/>
          <w:shd w:val="clear" w:color="auto" w:fill="FFFFFF"/>
          <w:lang w:val="zh-CN"/>
        </w:rPr>
      </w:pPr>
      <w:r>
        <w:rPr>
          <w:rFonts w:hint="eastAsia" w:ascii="仿宋_GB2312" w:hAnsi="Times New Roman" w:eastAsia="仿宋_GB2312" w:cs="Times New Roman"/>
          <w:color w:val="000000"/>
          <w:kern w:val="0"/>
          <w:sz w:val="32"/>
          <w:szCs w:val="32"/>
          <w:shd w:val="clear" w:color="auto" w:fill="FFFFFF"/>
        </w:rPr>
        <w:t>1.</w:t>
      </w:r>
      <w:r>
        <w:rPr>
          <w:rFonts w:hint="eastAsia" w:ascii="仿宋_GB2312" w:hAnsi="Times New Roman" w:eastAsia="仿宋_GB2312" w:cs="Times New Roman"/>
          <w:color w:val="000000"/>
          <w:kern w:val="0"/>
          <w:sz w:val="32"/>
          <w:szCs w:val="32"/>
          <w:shd w:val="clear" w:color="auto" w:fill="FFFFFF"/>
          <w:lang w:val="zh-CN"/>
        </w:rPr>
        <w:t>项目决策：</w:t>
      </w:r>
      <w:r>
        <w:rPr>
          <w:rFonts w:hint="eastAsia" w:ascii="仿宋_GB2312" w:hAnsi="Times New Roman" w:eastAsia="仿宋_GB2312" w:cs="Times New Roman"/>
          <w:color w:val="000000"/>
          <w:kern w:val="0"/>
          <w:sz w:val="32"/>
          <w:szCs w:val="32"/>
          <w:shd w:val="clear" w:color="auto" w:fill="FFFFFF"/>
        </w:rPr>
        <w:t>决策程序方面，合规性不错，但预算调整幅度过大，预判不足；目标设置合理但缺乏弹性，导致部分指标偏离</w:t>
      </w:r>
      <w:r>
        <w:rPr>
          <w:rFonts w:hint="eastAsia" w:ascii="仿宋_GB2312" w:hAnsi="Times New Roman" w:eastAsia="仿宋_GB2312" w:cs="Times New Roman"/>
          <w:color w:val="000000"/>
          <w:kern w:val="0"/>
          <w:sz w:val="32"/>
          <w:szCs w:val="32"/>
          <w:shd w:val="clear" w:color="auto" w:fill="FFFFFF"/>
          <w:lang w:eastAsia="zh-CN"/>
        </w:rPr>
        <w:t>，</w:t>
      </w:r>
      <w:r>
        <w:rPr>
          <w:rFonts w:hint="eastAsia" w:ascii="Times New Roman" w:hAnsi="Times New Roman" w:eastAsia="仿宋_GB2312" w:cs="Times New Roman"/>
          <w:color w:val="000000"/>
          <w:kern w:val="0"/>
          <w:sz w:val="32"/>
          <w:szCs w:val="32"/>
          <w:shd w:val="clear" w:color="auto" w:fill="FFFFFF"/>
          <w:lang w:val="zh-CN"/>
        </w:rPr>
        <w:t xml:space="preserve">扣 </w:t>
      </w:r>
      <w:r>
        <w:rPr>
          <w:rFonts w:hint="eastAsia" w:ascii="Times New Roman" w:hAnsi="Times New Roman" w:eastAsia="仿宋_GB2312" w:cs="Times New Roman"/>
          <w:color w:val="000000"/>
          <w:kern w:val="0"/>
          <w:sz w:val="32"/>
          <w:szCs w:val="32"/>
          <w:shd w:val="clear" w:color="auto" w:fill="FFFFFF"/>
          <w:lang w:val="en-US" w:eastAsia="zh-CN"/>
        </w:rPr>
        <w:t>3</w:t>
      </w:r>
      <w:r>
        <w:rPr>
          <w:rFonts w:hint="eastAsia" w:ascii="Times New Roman" w:hAnsi="Times New Roman" w:eastAsia="仿宋_GB2312" w:cs="Times New Roman"/>
          <w:color w:val="000000"/>
          <w:kern w:val="0"/>
          <w:sz w:val="32"/>
          <w:szCs w:val="32"/>
          <w:shd w:val="clear" w:color="auto" w:fill="FFFFFF"/>
          <w:lang w:val="zh-CN"/>
        </w:rPr>
        <w:t xml:space="preserve"> 分，最终得 </w:t>
      </w:r>
      <w:r>
        <w:rPr>
          <w:rFonts w:hint="eastAsia" w:ascii="Times New Roman" w:hAnsi="Times New Roman" w:eastAsia="仿宋_GB2312" w:cs="Times New Roman"/>
          <w:color w:val="000000"/>
          <w:kern w:val="0"/>
          <w:sz w:val="32"/>
          <w:szCs w:val="32"/>
          <w:shd w:val="clear" w:color="auto" w:fill="FFFFFF"/>
          <w:lang w:val="en-US" w:eastAsia="zh-CN"/>
        </w:rPr>
        <w:t>9</w:t>
      </w:r>
      <w:r>
        <w:rPr>
          <w:rFonts w:hint="eastAsia" w:ascii="Times New Roman" w:hAnsi="Times New Roman" w:eastAsia="仿宋_GB2312" w:cs="Times New Roman"/>
          <w:color w:val="000000"/>
          <w:kern w:val="0"/>
          <w:sz w:val="32"/>
          <w:szCs w:val="32"/>
          <w:shd w:val="clear" w:color="auto" w:fill="FFFFFF"/>
          <w:lang w:val="zh-CN"/>
        </w:rPr>
        <w:t>分</w:t>
      </w:r>
      <w:r>
        <w:rPr>
          <w:rFonts w:hint="eastAsia" w:ascii="仿宋_GB2312" w:hAnsi="Times New Roman" w:eastAsia="仿宋_GB2312" w:cs="Times New Roman"/>
          <w:color w:val="000000"/>
          <w:kern w:val="0"/>
          <w:sz w:val="32"/>
          <w:szCs w:val="32"/>
          <w:shd w:val="clear" w:color="auto" w:fill="FFFFFF"/>
        </w:rPr>
        <w:t>。</w:t>
      </w:r>
    </w:p>
    <w:p w14:paraId="4289C5F5">
      <w:pPr>
        <w:adjustRightInd w:val="0"/>
        <w:snapToGrid w:val="0"/>
        <w:spacing w:line="540" w:lineRule="exact"/>
        <w:ind w:firstLine="640" w:firstLineChars="200"/>
        <w:contextualSpacing/>
        <w:jc w:val="left"/>
        <w:rPr>
          <w:rFonts w:hint="eastAsia" w:ascii="Times New Roman" w:hAnsi="Times New Roman" w:eastAsia="仿宋_GB2312" w:cs="Times New Roman"/>
          <w:color w:val="000000"/>
          <w:kern w:val="0"/>
          <w:sz w:val="32"/>
          <w:szCs w:val="32"/>
          <w:shd w:val="clear" w:color="auto" w:fill="FFFFFF"/>
          <w:lang w:val="zh-CN"/>
        </w:rPr>
      </w:pPr>
      <w:r>
        <w:rPr>
          <w:rFonts w:hint="eastAsia" w:ascii="仿宋_GB2312" w:hAnsi="Times New Roman" w:eastAsia="仿宋_GB2312" w:cs="Times New Roman"/>
          <w:color w:val="000000"/>
          <w:kern w:val="0"/>
          <w:sz w:val="32"/>
          <w:szCs w:val="32"/>
          <w:shd w:val="clear" w:color="auto" w:fill="FFFFFF"/>
        </w:rPr>
        <w:t>2.项目执行</w:t>
      </w:r>
      <w:r>
        <w:rPr>
          <w:rFonts w:hint="eastAsia" w:ascii="仿宋_GB2312" w:hAnsi="Times New Roman" w:eastAsia="仿宋_GB2312" w:cs="Times New Roman"/>
          <w:color w:val="000000"/>
          <w:kern w:val="0"/>
          <w:sz w:val="32"/>
          <w:szCs w:val="32"/>
          <w:shd w:val="clear" w:color="auto" w:fill="FFFFFF"/>
          <w:lang w:eastAsia="zh-CN"/>
        </w:rPr>
        <w:t>：</w:t>
      </w:r>
      <w:r>
        <w:rPr>
          <w:rFonts w:hint="eastAsia" w:ascii="仿宋_GB2312" w:hAnsi="Times New Roman" w:eastAsia="仿宋_GB2312" w:cs="Times New Roman"/>
          <w:color w:val="000000"/>
          <w:kern w:val="0"/>
          <w:sz w:val="32"/>
          <w:szCs w:val="32"/>
          <w:shd w:val="clear" w:color="auto" w:fill="FFFFFF"/>
          <w:lang w:val="en-US" w:eastAsia="zh-CN"/>
        </w:rPr>
        <w:t>2024年有新增项目，因招投标及政府采购流程耗时，存在项目完成后未及时报账，导致资金支付延迟，</w:t>
      </w:r>
      <w:r>
        <w:rPr>
          <w:rFonts w:hint="eastAsia" w:ascii="Times New Roman" w:hAnsi="Times New Roman" w:eastAsia="仿宋_GB2312" w:cs="Times New Roman"/>
          <w:color w:val="000000"/>
          <w:kern w:val="0"/>
          <w:sz w:val="32"/>
          <w:szCs w:val="32"/>
          <w:shd w:val="clear" w:color="auto" w:fill="FFFFFF"/>
          <w:lang w:val="zh-CN"/>
        </w:rPr>
        <w:t xml:space="preserve">扣 </w:t>
      </w:r>
      <w:r>
        <w:rPr>
          <w:rFonts w:hint="eastAsia" w:ascii="Times New Roman" w:hAnsi="Times New Roman" w:eastAsia="仿宋_GB2312" w:cs="Times New Roman"/>
          <w:color w:val="000000"/>
          <w:kern w:val="0"/>
          <w:sz w:val="32"/>
          <w:szCs w:val="32"/>
          <w:shd w:val="clear" w:color="auto" w:fill="FFFFFF"/>
          <w:lang w:val="en-US" w:eastAsia="zh-CN"/>
        </w:rPr>
        <w:t>2</w:t>
      </w:r>
      <w:r>
        <w:rPr>
          <w:rFonts w:hint="eastAsia" w:ascii="Times New Roman" w:hAnsi="Times New Roman" w:eastAsia="仿宋_GB2312" w:cs="Times New Roman"/>
          <w:color w:val="000000"/>
          <w:kern w:val="0"/>
          <w:sz w:val="32"/>
          <w:szCs w:val="32"/>
          <w:shd w:val="clear" w:color="auto" w:fill="FFFFFF"/>
          <w:lang w:val="zh-CN"/>
        </w:rPr>
        <w:t xml:space="preserve"> 分，最终得 </w:t>
      </w:r>
      <w:r>
        <w:rPr>
          <w:rFonts w:hint="eastAsia" w:ascii="Times New Roman" w:hAnsi="Times New Roman" w:eastAsia="仿宋_GB2312" w:cs="Times New Roman"/>
          <w:color w:val="000000"/>
          <w:kern w:val="0"/>
          <w:sz w:val="32"/>
          <w:szCs w:val="32"/>
          <w:shd w:val="clear" w:color="auto" w:fill="FFFFFF"/>
          <w:lang w:val="en-US" w:eastAsia="zh-CN"/>
        </w:rPr>
        <w:t>10</w:t>
      </w:r>
      <w:r>
        <w:rPr>
          <w:rFonts w:hint="eastAsia" w:ascii="Times New Roman" w:hAnsi="Times New Roman" w:eastAsia="仿宋_GB2312" w:cs="Times New Roman"/>
          <w:color w:val="000000"/>
          <w:kern w:val="0"/>
          <w:sz w:val="32"/>
          <w:szCs w:val="32"/>
          <w:shd w:val="clear" w:color="auto" w:fill="FFFFFF"/>
          <w:lang w:val="zh-CN"/>
        </w:rPr>
        <w:t>分。</w:t>
      </w:r>
    </w:p>
    <w:p w14:paraId="6916A74A">
      <w:pPr>
        <w:adjustRightInd w:val="0"/>
        <w:snapToGrid w:val="0"/>
        <w:spacing w:line="540" w:lineRule="exact"/>
        <w:ind w:firstLine="640" w:firstLineChars="200"/>
        <w:contextualSpacing/>
        <w:jc w:val="left"/>
        <w:rPr>
          <w:rFonts w:hint="eastAsia" w:ascii="仿宋_GB2312" w:hAnsi="Times New Roman" w:eastAsia="仿宋_GB2312" w:cs="Times New Roman"/>
          <w:sz w:val="32"/>
          <w:szCs w:val="32"/>
        </w:rPr>
      </w:pPr>
      <w:r>
        <w:rPr>
          <w:rFonts w:hint="eastAsia" w:ascii="仿宋_GB2312" w:hAnsi="Times New Roman" w:eastAsia="仿宋_GB2312" w:cs="Times New Roman"/>
          <w:color w:val="000000"/>
          <w:kern w:val="0"/>
          <w:sz w:val="32"/>
          <w:szCs w:val="32"/>
          <w:shd w:val="clear" w:color="auto" w:fill="FFFFFF"/>
          <w:lang w:val="en-US" w:eastAsia="zh-CN"/>
        </w:rPr>
        <w:t>3.</w:t>
      </w:r>
      <w:r>
        <w:rPr>
          <w:rFonts w:hint="eastAsia" w:ascii="仿宋_GB2312" w:hAnsi="Times New Roman" w:eastAsia="仿宋_GB2312" w:cs="Times New Roman"/>
          <w:color w:val="000000"/>
          <w:kern w:val="0"/>
          <w:sz w:val="32"/>
          <w:szCs w:val="32"/>
          <w:shd w:val="clear" w:color="auto" w:fill="FFFFFF"/>
          <w:lang w:val="zh-CN" w:eastAsia="zh-CN"/>
        </w:rPr>
        <w:t>目标实现：</w:t>
      </w:r>
      <w:r>
        <w:rPr>
          <w:rFonts w:hint="eastAsia" w:ascii="仿宋_GB2312" w:hAnsi="Times New Roman" w:eastAsia="仿宋_GB2312" w:cs="Times New Roman"/>
          <w:color w:val="000000"/>
          <w:kern w:val="0"/>
          <w:sz w:val="32"/>
          <w:szCs w:val="32"/>
          <w:shd w:val="clear" w:color="auto" w:fill="FFFFFF"/>
        </w:rPr>
        <w:t>目标完成情况一般，有部分偏离，实现效果量化不足</w:t>
      </w:r>
      <w:r>
        <w:rPr>
          <w:rFonts w:hint="eastAsia" w:ascii="仿宋_GB2312" w:hAnsi="Times New Roman" w:eastAsia="仿宋_GB2312" w:cs="Times New Roman"/>
          <w:color w:val="000000"/>
          <w:kern w:val="0"/>
          <w:sz w:val="32"/>
          <w:szCs w:val="32"/>
          <w:shd w:val="clear" w:color="auto" w:fill="FFFFFF"/>
          <w:lang w:eastAsia="zh-CN"/>
        </w:rPr>
        <w:t>，</w:t>
      </w:r>
      <w:r>
        <w:rPr>
          <w:rFonts w:hint="eastAsia" w:ascii="Times New Roman" w:hAnsi="Times New Roman" w:eastAsia="仿宋_GB2312" w:cs="Times New Roman"/>
          <w:color w:val="000000"/>
          <w:kern w:val="0"/>
          <w:sz w:val="32"/>
          <w:szCs w:val="32"/>
          <w:shd w:val="clear" w:color="auto" w:fill="FFFFFF"/>
          <w:lang w:val="zh-CN"/>
        </w:rPr>
        <w:t xml:space="preserve">扣 </w:t>
      </w:r>
      <w:r>
        <w:rPr>
          <w:rFonts w:hint="eastAsia" w:ascii="Times New Roman" w:hAnsi="Times New Roman" w:eastAsia="仿宋_GB2312" w:cs="Times New Roman"/>
          <w:color w:val="000000"/>
          <w:kern w:val="0"/>
          <w:sz w:val="32"/>
          <w:szCs w:val="32"/>
          <w:shd w:val="clear" w:color="auto" w:fill="FFFFFF"/>
          <w:lang w:val="en-US" w:eastAsia="zh-CN"/>
        </w:rPr>
        <w:t>4</w:t>
      </w:r>
      <w:r>
        <w:rPr>
          <w:rFonts w:hint="eastAsia" w:ascii="Times New Roman" w:hAnsi="Times New Roman" w:eastAsia="仿宋_GB2312" w:cs="Times New Roman"/>
          <w:color w:val="000000"/>
          <w:kern w:val="0"/>
          <w:sz w:val="32"/>
          <w:szCs w:val="32"/>
          <w:shd w:val="clear" w:color="auto" w:fill="FFFFFF"/>
          <w:lang w:val="zh-CN"/>
        </w:rPr>
        <w:t xml:space="preserve"> 分，最终得 </w:t>
      </w:r>
      <w:r>
        <w:rPr>
          <w:rFonts w:hint="eastAsia" w:ascii="Times New Roman" w:hAnsi="Times New Roman" w:eastAsia="仿宋_GB2312" w:cs="Times New Roman"/>
          <w:color w:val="000000"/>
          <w:kern w:val="0"/>
          <w:sz w:val="32"/>
          <w:szCs w:val="32"/>
          <w:shd w:val="clear" w:color="auto" w:fill="FFFFFF"/>
          <w:lang w:val="en-US" w:eastAsia="zh-CN"/>
        </w:rPr>
        <w:t>7</w:t>
      </w:r>
      <w:r>
        <w:rPr>
          <w:rFonts w:hint="eastAsia" w:ascii="Times New Roman" w:hAnsi="Times New Roman" w:eastAsia="仿宋_GB2312" w:cs="Times New Roman"/>
          <w:color w:val="000000"/>
          <w:kern w:val="0"/>
          <w:sz w:val="32"/>
          <w:szCs w:val="32"/>
          <w:shd w:val="clear" w:color="auto" w:fill="FFFFFF"/>
          <w:lang w:val="zh-CN"/>
        </w:rPr>
        <w:t>分。</w:t>
      </w:r>
    </w:p>
    <w:p w14:paraId="60A9E50B">
      <w:pPr>
        <w:keepNext w:val="0"/>
        <w:keepLines w:val="0"/>
        <w:pageBreakBefore w:val="0"/>
        <w:widowControl w:val="0"/>
        <w:kinsoku/>
        <w:wordWrap/>
        <w:overflowPunct/>
        <w:topLinePunct w:val="0"/>
        <w:autoSpaceDE/>
        <w:autoSpaceDN/>
        <w:bidi w:val="0"/>
        <w:snapToGrid w:val="0"/>
        <w:spacing w:line="600" w:lineRule="exact"/>
        <w:ind w:firstLine="643" w:firstLineChars="200"/>
        <w:textAlignment w:val="auto"/>
        <w:rPr>
          <w:rFonts w:hint="eastAsia" w:ascii="Times New Roman" w:hAnsi="Times New Roman" w:eastAsia="仿宋_GB2312" w:cs="Times New Roman"/>
          <w:sz w:val="32"/>
          <w:szCs w:val="32"/>
          <w:highlight w:val="none"/>
          <w:u w:val="none"/>
          <w:lang w:val="zh-CN" w:eastAsia="zh-CN" w:bidi="ar"/>
        </w:rPr>
      </w:pPr>
      <w:r>
        <w:rPr>
          <w:rFonts w:hint="default" w:ascii="Times New Roman" w:hAnsi="Times New Roman" w:eastAsia="楷体_GB2312" w:cs="Times New Roman"/>
          <w:b/>
          <w:bCs/>
          <w:color w:val="000000"/>
          <w:kern w:val="0"/>
          <w:sz w:val="32"/>
          <w:szCs w:val="32"/>
          <w:highlight w:val="none"/>
          <w:shd w:val="clear" w:color="auto" w:fill="FFFFFF"/>
          <w:lang w:val="zh-CN" w:eastAsia="zh-CN"/>
        </w:rPr>
        <w:t>（</w:t>
      </w:r>
      <w:r>
        <w:rPr>
          <w:rFonts w:hint="eastAsia" w:eastAsia="楷体_GB2312" w:cs="Times New Roman"/>
          <w:b/>
          <w:bCs/>
          <w:color w:val="000000"/>
          <w:kern w:val="0"/>
          <w:sz w:val="32"/>
          <w:szCs w:val="32"/>
          <w:highlight w:val="none"/>
          <w:shd w:val="clear" w:color="auto" w:fill="FFFFFF"/>
          <w:lang w:val="en-US" w:eastAsia="zh-CN"/>
        </w:rPr>
        <w:t>三</w:t>
      </w:r>
      <w:r>
        <w:rPr>
          <w:rFonts w:hint="default" w:ascii="Times New Roman" w:hAnsi="Times New Roman" w:eastAsia="楷体_GB2312" w:cs="Times New Roman"/>
          <w:b/>
          <w:bCs/>
          <w:color w:val="000000"/>
          <w:kern w:val="0"/>
          <w:sz w:val="32"/>
          <w:szCs w:val="32"/>
          <w:highlight w:val="none"/>
          <w:shd w:val="clear" w:color="auto" w:fill="FFFFFF"/>
          <w:lang w:val="zh-CN" w:eastAsia="zh-CN"/>
        </w:rPr>
        <w:t>）绩效结果应用情况</w:t>
      </w:r>
      <w:r>
        <w:rPr>
          <w:rFonts w:hint="eastAsia" w:ascii="Times New Roman" w:hAnsi="Times New Roman" w:eastAsia="楷体_GB2312" w:cs="Times New Roman"/>
          <w:b/>
          <w:bCs/>
          <w:color w:val="000000"/>
          <w:kern w:val="0"/>
          <w:sz w:val="32"/>
          <w:szCs w:val="32"/>
          <w:highlight w:val="none"/>
          <w:shd w:val="clear" w:color="auto" w:fill="FFFFFF"/>
          <w:lang w:val="zh-CN" w:eastAsia="zh-CN"/>
        </w:rPr>
        <w:t>。</w:t>
      </w:r>
    </w:p>
    <w:p w14:paraId="46BA0BE1">
      <w:pPr>
        <w:widowControl/>
        <w:numPr>
          <w:ilvl w:val="0"/>
          <w:numId w:val="0"/>
        </w:numPr>
        <w:adjustRightInd w:val="0"/>
        <w:snapToGrid w:val="0"/>
        <w:spacing w:line="560" w:lineRule="exact"/>
        <w:ind w:firstLine="640" w:firstLineChars="200"/>
        <w:contextualSpacing/>
        <w:jc w:val="left"/>
        <w:rPr>
          <w:rFonts w:hint="default" w:ascii="仿宋" w:hAnsi="仿宋" w:eastAsia="仿宋" w:cs="宋体"/>
          <w:color w:val="000000"/>
          <w:kern w:val="0"/>
          <w:sz w:val="32"/>
          <w:szCs w:val="32"/>
          <w:shd w:val="clear" w:color="auto" w:fill="FFFFFF"/>
        </w:rPr>
      </w:pPr>
      <w:r>
        <w:rPr>
          <w:rFonts w:hint="eastAsia" w:ascii="仿宋" w:hAnsi="仿宋" w:eastAsia="仿宋" w:cs="宋体"/>
          <w:color w:val="000000"/>
          <w:kern w:val="0"/>
          <w:sz w:val="32"/>
          <w:szCs w:val="32"/>
          <w:shd w:val="clear" w:color="auto" w:fill="FFFFFF"/>
          <w:lang w:val="en-US" w:eastAsia="zh-CN"/>
        </w:rPr>
        <w:t>1、</w:t>
      </w:r>
      <w:r>
        <w:rPr>
          <w:rFonts w:hint="default" w:ascii="仿宋" w:hAnsi="仿宋" w:eastAsia="仿宋" w:cs="宋体"/>
          <w:color w:val="000000"/>
          <w:kern w:val="0"/>
          <w:sz w:val="32"/>
          <w:szCs w:val="32"/>
          <w:shd w:val="clear" w:color="auto" w:fill="FFFFFF"/>
        </w:rPr>
        <w:t>内部应用：部门将预算绩效评价结果作为改进工作、优化资源配置的重要依据。针对评价中发现的问题和不足，制定相应的改进措施并落实到具体工作中。</w:t>
      </w:r>
    </w:p>
    <w:p w14:paraId="1F13A607">
      <w:pPr>
        <w:widowControl/>
        <w:adjustRightInd w:val="0"/>
        <w:snapToGrid w:val="0"/>
        <w:spacing w:line="580" w:lineRule="exact"/>
        <w:ind w:firstLine="640" w:firstLineChars="200"/>
        <w:contextualSpacing/>
        <w:jc w:val="left"/>
        <w:rPr>
          <w:rFonts w:hint="eastAsia" w:ascii="仿宋" w:hAnsi="仿宋" w:eastAsia="仿宋" w:cs="宋体"/>
          <w:color w:val="000000"/>
          <w:kern w:val="0"/>
          <w:sz w:val="32"/>
          <w:szCs w:val="32"/>
          <w:shd w:val="clear" w:color="auto" w:fill="FFFFFF"/>
          <w:lang w:val="en-US" w:eastAsia="zh-CN"/>
        </w:rPr>
      </w:pPr>
      <w:r>
        <w:rPr>
          <w:rFonts w:hint="eastAsia" w:ascii="仿宋" w:hAnsi="仿宋" w:eastAsia="仿宋" w:cs="宋体"/>
          <w:color w:val="000000"/>
          <w:kern w:val="0"/>
          <w:sz w:val="32"/>
          <w:szCs w:val="32"/>
          <w:shd w:val="clear" w:color="auto" w:fill="FFFFFF"/>
          <w:lang w:val="en-US" w:eastAsia="zh-CN"/>
        </w:rPr>
        <w:t>2、</w:t>
      </w:r>
      <w:r>
        <w:rPr>
          <w:rFonts w:hint="default" w:ascii="仿宋" w:hAnsi="仿宋" w:eastAsia="仿宋" w:cs="宋体"/>
          <w:color w:val="000000"/>
          <w:kern w:val="0"/>
          <w:sz w:val="32"/>
          <w:szCs w:val="32"/>
          <w:shd w:val="clear" w:color="auto" w:fill="FFFFFF"/>
        </w:rPr>
        <w:t>自评公开：</w:t>
      </w:r>
      <w:r>
        <w:rPr>
          <w:rFonts w:hint="eastAsia" w:ascii="仿宋" w:hAnsi="仿宋" w:eastAsia="仿宋" w:cs="宋体"/>
          <w:color w:val="000000"/>
          <w:kern w:val="0"/>
          <w:sz w:val="32"/>
          <w:szCs w:val="32"/>
          <w:shd w:val="clear" w:color="auto" w:fill="FFFFFF"/>
        </w:rPr>
        <w:t>根据中华人民共和国预算法的要求，凉山州农业学校及时按要求在凉山州政府门户网站和学校官网向社会公开预算和决算报表及编制说明，公开的预算和决算内容完整、数据真实、准确</w:t>
      </w:r>
      <w:r>
        <w:rPr>
          <w:rFonts w:hint="eastAsia" w:ascii="仿宋" w:hAnsi="仿宋" w:eastAsia="仿宋" w:cs="宋体"/>
          <w:color w:val="000000"/>
          <w:kern w:val="0"/>
          <w:sz w:val="32"/>
          <w:szCs w:val="32"/>
          <w:shd w:val="clear" w:color="auto" w:fill="FFFFFF"/>
          <w:lang w:eastAsia="zh-CN"/>
        </w:rPr>
        <w:t>。</w:t>
      </w:r>
      <w:r>
        <w:rPr>
          <w:rFonts w:hint="eastAsia" w:ascii="仿宋" w:hAnsi="仿宋" w:eastAsia="仿宋" w:cs="宋体"/>
          <w:color w:val="000000"/>
          <w:kern w:val="0"/>
          <w:sz w:val="32"/>
          <w:szCs w:val="32"/>
          <w:shd w:val="clear" w:color="auto" w:fill="FFFFFF"/>
          <w:lang w:val="en-US" w:eastAsia="zh-CN"/>
        </w:rPr>
        <w:t xml:space="preserve"> </w:t>
      </w:r>
    </w:p>
    <w:p w14:paraId="20C66327">
      <w:pPr>
        <w:widowControl/>
        <w:adjustRightInd w:val="0"/>
        <w:snapToGrid w:val="0"/>
        <w:spacing w:line="580" w:lineRule="exact"/>
        <w:ind w:firstLine="640" w:firstLineChars="200"/>
        <w:contextualSpacing/>
        <w:jc w:val="left"/>
        <w:rPr>
          <w:rFonts w:hint="default" w:ascii="仿宋" w:hAnsi="仿宋" w:eastAsia="仿宋" w:cs="宋体"/>
          <w:color w:val="000000"/>
          <w:kern w:val="0"/>
          <w:sz w:val="32"/>
          <w:szCs w:val="32"/>
          <w:shd w:val="clear" w:color="auto" w:fill="FFFFFF"/>
        </w:rPr>
      </w:pPr>
      <w:r>
        <w:rPr>
          <w:rFonts w:hint="eastAsia" w:ascii="仿宋" w:hAnsi="仿宋" w:eastAsia="仿宋" w:cs="宋体"/>
          <w:color w:val="000000"/>
          <w:kern w:val="0"/>
          <w:sz w:val="32"/>
          <w:szCs w:val="32"/>
          <w:shd w:val="clear" w:color="auto" w:fill="FFFFFF"/>
          <w:lang w:val="en-US" w:eastAsia="zh-CN"/>
        </w:rPr>
        <w:t>3、</w:t>
      </w:r>
      <w:r>
        <w:rPr>
          <w:rFonts w:hint="default" w:ascii="仿宋" w:hAnsi="仿宋" w:eastAsia="仿宋" w:cs="宋体"/>
          <w:color w:val="000000"/>
          <w:kern w:val="0"/>
          <w:sz w:val="32"/>
          <w:szCs w:val="32"/>
          <w:shd w:val="clear" w:color="auto" w:fill="FFFFFF"/>
        </w:rPr>
        <w:t>问题整改：对于评价中指出的问题和不足，部门积极进行整改，不断完善内部管理机制，提高预算执行效果。</w:t>
      </w:r>
    </w:p>
    <w:p w14:paraId="6656B7D1">
      <w:pPr>
        <w:widowControl/>
        <w:adjustRightInd w:val="0"/>
        <w:snapToGrid w:val="0"/>
        <w:spacing w:line="580" w:lineRule="exact"/>
        <w:ind w:firstLine="640" w:firstLineChars="200"/>
        <w:contextualSpacing/>
        <w:jc w:val="left"/>
        <w:rPr>
          <w:rFonts w:hint="default" w:ascii="Times New Roman" w:hAnsi="Times New Roman" w:eastAsia="仿宋_GB2312" w:cs="Times New Roman"/>
          <w:sz w:val="32"/>
          <w:szCs w:val="32"/>
          <w:highlight w:val="none"/>
          <w:u w:val="none"/>
          <w:lang w:val="zh-CN" w:eastAsia="zh-CN" w:bidi="ar"/>
        </w:rPr>
      </w:pPr>
      <w:r>
        <w:rPr>
          <w:rFonts w:hint="eastAsia" w:ascii="仿宋" w:hAnsi="仿宋" w:eastAsia="仿宋" w:cs="宋体"/>
          <w:color w:val="000000"/>
          <w:kern w:val="0"/>
          <w:sz w:val="32"/>
          <w:szCs w:val="32"/>
          <w:shd w:val="clear" w:color="auto" w:fill="FFFFFF"/>
          <w:lang w:val="en-US" w:eastAsia="zh-CN"/>
        </w:rPr>
        <w:t>4、</w:t>
      </w:r>
      <w:r>
        <w:rPr>
          <w:rFonts w:hint="default" w:ascii="仿宋" w:hAnsi="仿宋" w:eastAsia="仿宋" w:cs="宋体"/>
          <w:color w:val="000000"/>
          <w:kern w:val="0"/>
          <w:sz w:val="32"/>
          <w:szCs w:val="32"/>
          <w:shd w:val="clear" w:color="auto" w:fill="FFFFFF"/>
        </w:rPr>
        <w:t>应用结果反馈：</w:t>
      </w:r>
      <w:r>
        <w:rPr>
          <w:rFonts w:hint="eastAsia" w:ascii="仿宋" w:hAnsi="仿宋" w:eastAsia="仿宋" w:cs="宋体"/>
          <w:color w:val="000000"/>
          <w:kern w:val="0"/>
          <w:sz w:val="32"/>
          <w:szCs w:val="32"/>
          <w:shd w:val="clear" w:color="auto" w:fill="FFFFFF"/>
          <w:lang w:val="en-US" w:eastAsia="zh-CN"/>
        </w:rPr>
        <w:t>单位</w:t>
      </w:r>
      <w:r>
        <w:rPr>
          <w:rFonts w:hint="default" w:ascii="仿宋" w:hAnsi="仿宋" w:eastAsia="仿宋" w:cs="宋体"/>
          <w:color w:val="000000"/>
          <w:kern w:val="0"/>
          <w:sz w:val="32"/>
          <w:szCs w:val="32"/>
          <w:shd w:val="clear" w:color="auto" w:fill="FFFFFF"/>
        </w:rPr>
        <w:t>对预算绩效评价结果的应用情况进行持续跟踪和反馈，确保改进措施的有效实施并不断完善预算绩效管理工作。</w:t>
      </w:r>
    </w:p>
    <w:p w14:paraId="48DF04D7">
      <w:pPr>
        <w:keepNext w:val="0"/>
        <w:keepLines w:val="0"/>
        <w:pageBreakBefore w:val="0"/>
        <w:widowControl/>
        <w:numPr>
          <w:ilvl w:val="0"/>
          <w:numId w:val="0"/>
        </w:numPr>
        <w:kinsoku/>
        <w:wordWrap/>
        <w:overflowPunct/>
        <w:topLinePunct w:val="0"/>
        <w:autoSpaceDE/>
        <w:autoSpaceDN/>
        <w:bidi w:val="0"/>
        <w:adjustRightInd w:val="0"/>
        <w:snapToGrid w:val="0"/>
        <w:spacing w:line="578" w:lineRule="exact"/>
        <w:ind w:firstLine="640" w:firstLineChars="200"/>
        <w:contextualSpacing/>
        <w:jc w:val="left"/>
        <w:textAlignment w:val="auto"/>
        <w:outlineLvl w:val="9"/>
        <w:rPr>
          <w:rFonts w:hint="default" w:ascii="Times New Roman" w:hAnsi="Times New Roman" w:eastAsia="黑体" w:cs="Times New Roman"/>
          <w:color w:val="000000"/>
          <w:kern w:val="0"/>
          <w:sz w:val="32"/>
          <w:szCs w:val="32"/>
          <w:highlight w:val="none"/>
          <w:shd w:val="clear" w:color="auto" w:fill="FFFFFF"/>
          <w:lang w:val="zh-CN"/>
        </w:rPr>
      </w:pPr>
      <w:r>
        <w:rPr>
          <w:rFonts w:hint="default" w:ascii="Times New Roman" w:hAnsi="Times New Roman" w:eastAsia="黑体" w:cs="Times New Roman"/>
          <w:color w:val="000000"/>
          <w:kern w:val="0"/>
          <w:sz w:val="32"/>
          <w:szCs w:val="32"/>
          <w:highlight w:val="none"/>
          <w:shd w:val="clear" w:color="auto" w:fill="FFFFFF"/>
          <w:lang w:val="zh-CN" w:eastAsia="zh-CN"/>
        </w:rPr>
        <w:t>四、</w:t>
      </w:r>
      <w:r>
        <w:rPr>
          <w:rFonts w:hint="default" w:ascii="Times New Roman" w:hAnsi="Times New Roman" w:eastAsia="黑体" w:cs="Times New Roman"/>
          <w:color w:val="000000"/>
          <w:kern w:val="0"/>
          <w:sz w:val="32"/>
          <w:szCs w:val="32"/>
          <w:highlight w:val="none"/>
          <w:shd w:val="clear" w:color="auto" w:fill="FFFFFF"/>
          <w:lang w:val="zh-CN"/>
        </w:rPr>
        <w:t>评价结论及建议</w:t>
      </w:r>
    </w:p>
    <w:p w14:paraId="1E4188CA">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eastAsia" w:ascii="Times New Roman" w:hAnsi="Times New Roman" w:eastAsia="仿宋_GB2312" w:cs="Times New Roman"/>
          <w:sz w:val="32"/>
          <w:szCs w:val="32"/>
          <w:u w:val="none"/>
          <w:lang w:val="en-US" w:eastAsia="zh-CN" w:bidi="ar"/>
        </w:rPr>
      </w:pPr>
      <w:r>
        <w:rPr>
          <w:rFonts w:hint="default" w:ascii="Times New Roman" w:hAnsi="Times New Roman" w:eastAsia="楷体_GB2312" w:cs="Times New Roman"/>
          <w:b/>
          <w:bCs/>
          <w:color w:val="000000"/>
          <w:kern w:val="0"/>
          <w:sz w:val="32"/>
          <w:szCs w:val="32"/>
          <w:highlight w:val="none"/>
          <w:shd w:val="clear" w:color="auto" w:fill="FFFFFF"/>
          <w:lang w:val="zh-CN"/>
        </w:rPr>
        <w:t>（一）评价结论。</w:t>
      </w:r>
    </w:p>
    <w:p w14:paraId="4ADBA07E">
      <w:pPr>
        <w:widowControl/>
        <w:adjustRightInd w:val="0"/>
        <w:snapToGrid w:val="0"/>
        <w:spacing w:line="580" w:lineRule="exact"/>
        <w:ind w:firstLine="640" w:firstLineChars="200"/>
        <w:contextualSpacing/>
        <w:jc w:val="left"/>
        <w:rPr>
          <w:rFonts w:hint="default" w:ascii="Times New Roman" w:hAnsi="Times New Roman" w:eastAsia="仿宋_GB2312" w:cs="Times New Roman"/>
          <w:sz w:val="32"/>
          <w:szCs w:val="32"/>
          <w:u w:val="none"/>
          <w:lang w:val="en-US" w:eastAsia="zh-CN" w:bidi="ar"/>
        </w:rPr>
      </w:pPr>
      <w:r>
        <w:rPr>
          <w:rFonts w:hint="default" w:ascii="仿宋" w:hAnsi="仿宋" w:eastAsia="仿宋" w:cs="宋体"/>
          <w:color w:val="000000"/>
          <w:kern w:val="0"/>
          <w:sz w:val="32"/>
          <w:szCs w:val="32"/>
          <w:shd w:val="clear" w:color="auto" w:fill="FFFFFF"/>
          <w:lang w:val="en-US" w:eastAsia="zh-CN" w:bidi="ar-SA"/>
        </w:rPr>
        <w:t>经过全面、细致的评价和分析，</w:t>
      </w:r>
      <w:r>
        <w:rPr>
          <w:rFonts w:hint="eastAsia" w:ascii="仿宋" w:hAnsi="仿宋" w:eastAsia="仿宋" w:cs="宋体"/>
          <w:color w:val="000000"/>
          <w:kern w:val="0"/>
          <w:sz w:val="32"/>
          <w:szCs w:val="32"/>
          <w:shd w:val="clear" w:color="auto" w:fill="FFFFFF"/>
        </w:rPr>
        <w:t>202</w:t>
      </w:r>
      <w:r>
        <w:rPr>
          <w:rFonts w:hint="eastAsia" w:ascii="仿宋" w:hAnsi="仿宋" w:eastAsia="仿宋" w:cs="宋体"/>
          <w:color w:val="000000"/>
          <w:kern w:val="0"/>
          <w:sz w:val="32"/>
          <w:szCs w:val="32"/>
          <w:shd w:val="clear" w:color="auto" w:fill="FFFFFF"/>
          <w:lang w:val="en-US" w:eastAsia="zh-CN"/>
        </w:rPr>
        <w:t>4</w:t>
      </w:r>
      <w:r>
        <w:rPr>
          <w:rFonts w:hint="eastAsia" w:ascii="仿宋" w:hAnsi="仿宋" w:eastAsia="仿宋" w:cs="宋体"/>
          <w:color w:val="000000"/>
          <w:kern w:val="0"/>
          <w:sz w:val="32"/>
          <w:szCs w:val="32"/>
          <w:shd w:val="clear" w:color="auto" w:fill="FFFFFF"/>
        </w:rPr>
        <w:t>年度凉山州农业学校各项收入和支出都按预算的目标顺利完成，在各级部门的领导下我校完成了202</w:t>
      </w:r>
      <w:r>
        <w:rPr>
          <w:rFonts w:hint="eastAsia" w:ascii="仿宋" w:hAnsi="仿宋" w:eastAsia="仿宋" w:cs="宋体"/>
          <w:color w:val="000000"/>
          <w:kern w:val="0"/>
          <w:sz w:val="32"/>
          <w:szCs w:val="32"/>
          <w:shd w:val="clear" w:color="auto" w:fill="FFFFFF"/>
          <w:lang w:val="en-US" w:eastAsia="zh-CN"/>
        </w:rPr>
        <w:t>4</w:t>
      </w:r>
      <w:r>
        <w:rPr>
          <w:rFonts w:hint="eastAsia" w:ascii="仿宋" w:hAnsi="仿宋" w:eastAsia="仿宋" w:cs="宋体"/>
          <w:color w:val="000000"/>
          <w:kern w:val="0"/>
          <w:sz w:val="32"/>
          <w:szCs w:val="32"/>
          <w:shd w:val="clear" w:color="auto" w:fill="FFFFFF"/>
        </w:rPr>
        <w:t>年度的绩效管理工作，</w:t>
      </w:r>
      <w:r>
        <w:rPr>
          <w:rFonts w:hint="default" w:ascii="仿宋" w:hAnsi="仿宋" w:eastAsia="仿宋" w:cs="宋体"/>
          <w:color w:val="000000"/>
          <w:kern w:val="0"/>
          <w:sz w:val="32"/>
          <w:szCs w:val="32"/>
          <w:shd w:val="clear" w:color="auto" w:fill="FFFFFF"/>
          <w:lang w:val="en-US" w:eastAsia="zh-CN" w:bidi="ar-SA"/>
        </w:rPr>
        <w:t>预算执行情况良好，各项预算项目均按照预定目标顺利推进。同时，部门在</w:t>
      </w:r>
      <w:r>
        <w:rPr>
          <w:rFonts w:hint="eastAsia" w:ascii="仿宋" w:hAnsi="仿宋" w:eastAsia="仿宋" w:cs="宋体"/>
          <w:color w:val="000000"/>
          <w:kern w:val="0"/>
          <w:sz w:val="32"/>
          <w:szCs w:val="32"/>
          <w:shd w:val="clear" w:color="auto" w:fill="FFFFFF"/>
          <w:lang w:val="en-US" w:eastAsia="zh-CN" w:bidi="ar-SA"/>
        </w:rPr>
        <w:t>履职效能、预算管理</w:t>
      </w:r>
      <w:r>
        <w:rPr>
          <w:rFonts w:hint="default" w:ascii="仿宋" w:hAnsi="仿宋" w:eastAsia="仿宋" w:cs="宋体"/>
          <w:color w:val="000000"/>
          <w:kern w:val="0"/>
          <w:sz w:val="32"/>
          <w:szCs w:val="32"/>
          <w:shd w:val="clear" w:color="auto" w:fill="FFFFFF"/>
          <w:lang w:val="en-US" w:eastAsia="zh-CN" w:bidi="ar-SA"/>
        </w:rPr>
        <w:t>绩效目标制定、执行监控等方面都表现出较高的专业性和规范性。</w:t>
      </w:r>
    </w:p>
    <w:p w14:paraId="044AD2C1">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eastAsia" w:ascii="Times New Roman" w:hAnsi="Times New Roman" w:eastAsia="仿宋_GB2312" w:cs="Times New Roman"/>
          <w:sz w:val="32"/>
          <w:szCs w:val="32"/>
          <w:u w:val="none"/>
          <w:lang w:val="en-US" w:eastAsia="zh-CN" w:bidi="ar"/>
        </w:rPr>
      </w:pPr>
      <w:r>
        <w:rPr>
          <w:rFonts w:hint="default" w:ascii="Times New Roman" w:hAnsi="Times New Roman" w:eastAsia="楷体_GB2312" w:cs="Times New Roman"/>
          <w:b/>
          <w:bCs/>
          <w:color w:val="000000"/>
          <w:kern w:val="0"/>
          <w:sz w:val="32"/>
          <w:szCs w:val="32"/>
          <w:highlight w:val="none"/>
          <w:shd w:val="clear" w:color="auto" w:fill="FFFFFF"/>
          <w:lang w:val="zh-CN"/>
        </w:rPr>
        <w:t>（二）存在问题。</w:t>
      </w:r>
    </w:p>
    <w:p w14:paraId="054B5745">
      <w:pPr>
        <w:widowControl/>
        <w:numPr>
          <w:ilvl w:val="0"/>
          <w:numId w:val="0"/>
        </w:numPr>
        <w:adjustRightInd w:val="0"/>
        <w:snapToGrid w:val="0"/>
        <w:spacing w:line="540" w:lineRule="exact"/>
        <w:ind w:firstLine="640" w:firstLineChars="200"/>
        <w:contextualSpacing/>
        <w:jc w:val="left"/>
        <w:rPr>
          <w:rFonts w:hint="eastAsia" w:ascii="Times New Roman" w:hAnsi="Times New Roman" w:eastAsia="仿宋_GB2312" w:cs="Times New Roman"/>
          <w:sz w:val="32"/>
          <w:szCs w:val="32"/>
          <w:u w:val="none"/>
          <w:lang w:val="en-US" w:eastAsia="zh-CN" w:bidi="ar"/>
        </w:rPr>
      </w:pPr>
      <w:r>
        <w:rPr>
          <w:rFonts w:hint="default" w:ascii="仿宋" w:hAnsi="仿宋" w:eastAsia="仿宋" w:cs="宋体"/>
          <w:color w:val="000000"/>
          <w:kern w:val="0"/>
          <w:sz w:val="32"/>
          <w:szCs w:val="32"/>
          <w:shd w:val="clear" w:color="auto" w:fill="FFFFFF"/>
          <w:lang w:val="en-US" w:eastAsia="zh-CN" w:bidi="ar-SA"/>
        </w:rPr>
        <w:t>尽管本</w:t>
      </w:r>
      <w:r>
        <w:rPr>
          <w:rFonts w:hint="eastAsia" w:ascii="仿宋" w:hAnsi="仿宋" w:eastAsia="仿宋" w:cs="宋体"/>
          <w:color w:val="000000"/>
          <w:kern w:val="0"/>
          <w:sz w:val="32"/>
          <w:szCs w:val="32"/>
          <w:shd w:val="clear" w:color="auto" w:fill="FFFFFF"/>
          <w:lang w:val="en-US" w:eastAsia="zh-CN" w:bidi="ar-SA"/>
        </w:rPr>
        <w:t>单位</w:t>
      </w:r>
      <w:r>
        <w:rPr>
          <w:rFonts w:hint="default" w:ascii="仿宋" w:hAnsi="仿宋" w:eastAsia="仿宋" w:cs="宋体"/>
          <w:color w:val="000000"/>
          <w:kern w:val="0"/>
          <w:sz w:val="32"/>
          <w:szCs w:val="32"/>
          <w:shd w:val="clear" w:color="auto" w:fill="FFFFFF"/>
          <w:lang w:val="en-US" w:eastAsia="zh-CN" w:bidi="ar-SA"/>
        </w:rPr>
        <w:t>的预算绩效管理工作取得了一定成绩，但仍存在一些问题和不足之处。例如</w:t>
      </w:r>
      <w:r>
        <w:rPr>
          <w:rFonts w:hint="eastAsia" w:ascii="Times New Roman" w:hAnsi="Times New Roman" w:eastAsia="仿宋_GB2312" w:cs="Times New Roman"/>
          <w:color w:val="000000"/>
          <w:kern w:val="0"/>
          <w:sz w:val="32"/>
          <w:szCs w:val="32"/>
          <w:shd w:val="clear" w:color="auto" w:fill="FFFFFF"/>
          <w:lang w:val="zh-CN"/>
        </w:rPr>
        <w:t>预算执行的及时性和</w:t>
      </w:r>
      <w:r>
        <w:rPr>
          <w:rFonts w:hint="eastAsia" w:ascii="Times New Roman" w:hAnsi="Times New Roman" w:eastAsia="仿宋_GB2312" w:cs="Times New Roman"/>
          <w:color w:val="000000"/>
          <w:kern w:val="0"/>
          <w:sz w:val="32"/>
          <w:szCs w:val="32"/>
          <w:shd w:val="clear" w:color="auto" w:fill="FFFFFF"/>
          <w:lang w:val="en-US" w:eastAsia="zh-CN"/>
        </w:rPr>
        <w:t>预算年终结余等</w:t>
      </w:r>
      <w:r>
        <w:rPr>
          <w:rFonts w:hint="eastAsia" w:ascii="Times New Roman" w:hAnsi="Times New Roman" w:eastAsia="仿宋_GB2312" w:cs="Times New Roman"/>
          <w:color w:val="000000"/>
          <w:kern w:val="0"/>
          <w:sz w:val="32"/>
          <w:szCs w:val="32"/>
          <w:shd w:val="clear" w:color="auto" w:fill="FFFFFF"/>
          <w:lang w:val="zh-CN"/>
        </w:rPr>
        <w:t>存在不足，项目存在进度延迟或个别指标未达预期的情况，</w:t>
      </w:r>
      <w:r>
        <w:rPr>
          <w:rFonts w:hint="eastAsia" w:ascii="仿宋_GB2312" w:hAnsi="Times New Roman" w:eastAsia="仿宋_GB2312" w:cs="Times New Roman"/>
          <w:color w:val="000000"/>
          <w:kern w:val="0"/>
          <w:sz w:val="32"/>
          <w:szCs w:val="32"/>
          <w:shd w:val="clear" w:color="auto" w:fill="FFFFFF"/>
        </w:rPr>
        <w:t>有部分偏离，实现效果量化不足</w:t>
      </w:r>
      <w:r>
        <w:rPr>
          <w:rFonts w:hint="eastAsia" w:ascii="仿宋_GB2312" w:hAnsi="Times New Roman" w:eastAsia="仿宋_GB2312" w:cs="Times New Roman"/>
          <w:color w:val="000000"/>
          <w:kern w:val="0"/>
          <w:sz w:val="32"/>
          <w:szCs w:val="32"/>
          <w:shd w:val="clear" w:color="auto" w:fill="FFFFFF"/>
          <w:lang w:val="en-US" w:eastAsia="zh-CN"/>
        </w:rPr>
        <w:t>等问题</w:t>
      </w:r>
      <w:r>
        <w:rPr>
          <w:rFonts w:hint="eastAsia" w:ascii="Times New Roman" w:hAnsi="Times New Roman" w:eastAsia="仿宋_GB2312" w:cs="Times New Roman"/>
          <w:color w:val="000000"/>
          <w:kern w:val="0"/>
          <w:sz w:val="32"/>
          <w:szCs w:val="32"/>
          <w:shd w:val="clear" w:color="auto" w:fill="FFFFFF"/>
          <w:lang w:val="zh-CN"/>
        </w:rPr>
        <w:t>。</w:t>
      </w:r>
    </w:p>
    <w:p w14:paraId="7EFE8C5C">
      <w:pPr>
        <w:keepNext w:val="0"/>
        <w:keepLines w:val="0"/>
        <w:pageBreakBefore w:val="0"/>
        <w:widowControl/>
        <w:kinsoku/>
        <w:wordWrap/>
        <w:overflowPunct/>
        <w:topLinePunct w:val="0"/>
        <w:autoSpaceDE/>
        <w:autoSpaceDN/>
        <w:bidi w:val="0"/>
        <w:adjustRightInd w:val="0"/>
        <w:snapToGrid w:val="0"/>
        <w:spacing w:line="578" w:lineRule="exact"/>
        <w:ind w:firstLine="643" w:firstLineChars="200"/>
        <w:contextualSpacing/>
        <w:jc w:val="left"/>
        <w:textAlignment w:val="auto"/>
        <w:outlineLvl w:val="9"/>
        <w:rPr>
          <w:rFonts w:hint="eastAsia" w:ascii="Times New Roman" w:hAnsi="Times New Roman" w:eastAsia="仿宋_GB2312" w:cs="Times New Roman"/>
          <w:sz w:val="32"/>
          <w:szCs w:val="32"/>
          <w:u w:val="none"/>
          <w:lang w:val="en" w:eastAsia="zh-CN" w:bidi="ar"/>
        </w:rPr>
      </w:pPr>
      <w:r>
        <w:rPr>
          <w:rFonts w:hint="default" w:ascii="Times New Roman" w:hAnsi="Times New Roman" w:eastAsia="楷体_GB2312" w:cs="Times New Roman"/>
          <w:b/>
          <w:bCs/>
          <w:color w:val="000000"/>
          <w:kern w:val="0"/>
          <w:sz w:val="32"/>
          <w:szCs w:val="32"/>
          <w:highlight w:val="none"/>
          <w:shd w:val="clear" w:color="auto" w:fill="FFFFFF"/>
          <w:lang w:val="zh-CN" w:eastAsia="zh-CN"/>
        </w:rPr>
        <w:t>（三）改进建议。</w:t>
      </w:r>
      <w:bookmarkStart w:id="46" w:name="_Hlk110546638"/>
    </w:p>
    <w:bookmarkEnd w:id="46"/>
    <w:p w14:paraId="273E4DD8">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color="auto" w:fill="FDFDFE"/>
        <w:spacing w:before="168" w:beforeAutospacing="0" w:after="0" w:afterAutospacing="0" w:line="21" w:lineRule="atLeast"/>
        <w:ind w:right="0" w:firstLine="640" w:firstLineChars="200"/>
        <w:rPr>
          <w:rFonts w:hint="default" w:ascii="仿宋" w:hAnsi="仿宋" w:eastAsia="仿宋" w:cs="宋体"/>
          <w:color w:val="000000"/>
          <w:kern w:val="0"/>
          <w:sz w:val="32"/>
          <w:szCs w:val="32"/>
          <w:shd w:val="clear" w:color="auto" w:fill="FFFFFF"/>
          <w:lang w:val="en-US" w:eastAsia="zh-CN" w:bidi="ar-SA"/>
        </w:rPr>
      </w:pPr>
      <w:r>
        <w:rPr>
          <w:rFonts w:hint="default" w:ascii="仿宋" w:hAnsi="仿宋" w:eastAsia="仿宋" w:cs="宋体"/>
          <w:color w:val="000000"/>
          <w:kern w:val="0"/>
          <w:sz w:val="32"/>
          <w:szCs w:val="32"/>
          <w:shd w:val="clear" w:color="auto" w:fill="FFFFFF"/>
          <w:lang w:val="en-US" w:eastAsia="zh-CN" w:bidi="ar-SA"/>
        </w:rPr>
        <w:t>1</w:t>
      </w:r>
      <w:r>
        <w:rPr>
          <w:rFonts w:hint="eastAsia" w:ascii="仿宋" w:hAnsi="仿宋" w:eastAsia="仿宋" w:cs="宋体"/>
          <w:color w:val="000000"/>
          <w:kern w:val="0"/>
          <w:sz w:val="32"/>
          <w:szCs w:val="32"/>
          <w:shd w:val="clear" w:color="auto" w:fill="FFFFFF"/>
          <w:lang w:val="en-US" w:eastAsia="zh-CN" w:bidi="ar-SA"/>
        </w:rPr>
        <w:t>、</w:t>
      </w:r>
      <w:r>
        <w:rPr>
          <w:rFonts w:hint="default" w:ascii="仿宋" w:hAnsi="仿宋" w:eastAsia="仿宋" w:cs="宋体"/>
          <w:color w:val="000000"/>
          <w:kern w:val="0"/>
          <w:sz w:val="32"/>
          <w:szCs w:val="32"/>
          <w:shd w:val="clear" w:color="auto" w:fill="FFFFFF"/>
          <w:lang w:val="en-US" w:eastAsia="zh-CN" w:bidi="ar-SA"/>
        </w:rPr>
        <w:t>提高预算管理水平。严格按程序编报单位经费预算，提高预算编制精细化水平；严格执行“无预算不开支、有预算不超支”原则，强化预算刚性约束；建立预算执行分析纳入党组会定期议题机制，及时纠正执行偏差、有效管控支付进度，充分发挥财政资金使用效益。</w:t>
      </w:r>
    </w:p>
    <w:p w14:paraId="55BB5F01">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color="auto" w:fill="FDFDFE"/>
        <w:spacing w:before="168" w:beforeAutospacing="0" w:after="0" w:afterAutospacing="0" w:line="21" w:lineRule="atLeast"/>
        <w:ind w:right="0" w:firstLine="640" w:firstLineChars="200"/>
        <w:rPr>
          <w:rFonts w:hint="eastAsia" w:ascii="仿宋" w:hAnsi="仿宋" w:eastAsia="仿宋" w:cs="宋体"/>
          <w:color w:val="000000"/>
          <w:kern w:val="0"/>
          <w:sz w:val="32"/>
          <w:szCs w:val="32"/>
          <w:shd w:val="clear" w:color="auto" w:fill="FFFFFF"/>
          <w:lang w:val="en-US" w:eastAsia="zh-CN" w:bidi="ar-SA"/>
        </w:rPr>
      </w:pPr>
      <w:r>
        <w:rPr>
          <w:rFonts w:hint="eastAsia" w:ascii="仿宋" w:hAnsi="仿宋" w:eastAsia="仿宋" w:cs="宋体"/>
          <w:color w:val="000000"/>
          <w:kern w:val="0"/>
          <w:sz w:val="32"/>
          <w:szCs w:val="32"/>
          <w:shd w:val="clear" w:color="auto" w:fill="FFFFFF"/>
          <w:lang w:val="en-US" w:eastAsia="zh-CN" w:bidi="ar-SA"/>
        </w:rPr>
        <w:t>2、强化专项项目管理。深入全面开展项目前期调查研究，编</w:t>
      </w:r>
      <w:r>
        <w:rPr>
          <w:rFonts w:hint="default" w:ascii="仿宋" w:hAnsi="仿宋" w:eastAsia="仿宋" w:cs="宋体"/>
          <w:color w:val="000000"/>
          <w:kern w:val="0"/>
          <w:sz w:val="32"/>
          <w:szCs w:val="32"/>
          <w:shd w:val="clear" w:color="auto" w:fill="FFFFFF"/>
          <w:lang w:val="en-US" w:eastAsia="zh-CN" w:bidi="ar-SA"/>
        </w:rPr>
        <w:t>制全面的、操作性强的项目实施方案,划分实施步骤、明确人员负责、定期检查汇报、完善奖惩机制，为项目及时推进、按时完成打下坚实基础。</w:t>
      </w:r>
    </w:p>
    <w:p w14:paraId="497587C6">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color="auto" w:fill="FDFDFE"/>
        <w:spacing w:before="168" w:beforeAutospacing="0" w:after="0" w:afterAutospacing="0" w:line="21" w:lineRule="atLeast"/>
        <w:ind w:right="0" w:firstLine="640" w:firstLineChars="200"/>
        <w:rPr>
          <w:rFonts w:hint="default" w:ascii="仿宋" w:hAnsi="仿宋" w:eastAsia="仿宋" w:cs="宋体"/>
          <w:color w:val="000000"/>
          <w:kern w:val="0"/>
          <w:sz w:val="32"/>
          <w:szCs w:val="32"/>
          <w:shd w:val="clear" w:color="auto" w:fill="FFFFFF"/>
          <w:lang w:val="en-US" w:eastAsia="zh-CN" w:bidi="ar-SA"/>
        </w:rPr>
      </w:pPr>
      <w:r>
        <w:rPr>
          <w:rFonts w:hint="eastAsia" w:ascii="仿宋" w:hAnsi="仿宋" w:eastAsia="仿宋" w:cs="宋体"/>
          <w:color w:val="000000"/>
          <w:kern w:val="0"/>
          <w:sz w:val="32"/>
          <w:szCs w:val="32"/>
          <w:shd w:val="clear" w:color="auto" w:fill="FFFFFF"/>
          <w:lang w:val="en-US" w:eastAsia="zh-CN" w:bidi="ar-SA"/>
        </w:rPr>
        <w:t>3、</w:t>
      </w:r>
      <w:r>
        <w:rPr>
          <w:rFonts w:hint="default" w:ascii="仿宋" w:hAnsi="仿宋" w:eastAsia="仿宋" w:cs="宋体"/>
          <w:color w:val="000000"/>
          <w:kern w:val="0"/>
          <w:sz w:val="32"/>
          <w:szCs w:val="32"/>
          <w:shd w:val="clear" w:color="auto" w:fill="FFFFFF"/>
          <w:lang w:val="en-US" w:eastAsia="zh-CN" w:bidi="ar-SA"/>
        </w:rPr>
        <w:t>提高绩效管理水平。</w:t>
      </w:r>
      <w:r>
        <w:rPr>
          <w:rFonts w:hint="eastAsia" w:ascii="仿宋" w:hAnsi="仿宋" w:eastAsia="仿宋" w:cs="宋体"/>
          <w:color w:val="000000"/>
          <w:kern w:val="0"/>
          <w:sz w:val="32"/>
          <w:szCs w:val="32"/>
          <w:shd w:val="clear" w:color="auto" w:fill="FFFFFF"/>
          <w:lang w:val="en-US" w:eastAsia="zh-CN" w:bidi="ar-SA"/>
        </w:rPr>
        <w:t>合理设置部门整体支出和项目支出绩效目标，并以此为年度工作指引，增强预算管控、强化项目管理，统筹安排、密切配合，持续提升财政资金使用的经济性、效率性和效益性。</w:t>
      </w:r>
    </w:p>
    <w:p w14:paraId="6AD0C759">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color="auto" w:fill="FDFDFE"/>
        <w:spacing w:before="168" w:beforeAutospacing="0" w:after="0" w:afterAutospacing="0" w:line="21" w:lineRule="atLeast"/>
        <w:ind w:left="0" w:right="0" w:firstLine="640" w:firstLineChars="200"/>
        <w:rPr>
          <w:rFonts w:hint="default" w:ascii="仿宋" w:hAnsi="仿宋" w:eastAsia="仿宋" w:cs="宋体"/>
          <w:color w:val="000000"/>
          <w:kern w:val="0"/>
          <w:sz w:val="32"/>
          <w:szCs w:val="32"/>
          <w:shd w:val="clear" w:color="auto" w:fill="FFFFFF"/>
          <w:lang w:val="en-US" w:eastAsia="zh-CN" w:bidi="ar-SA"/>
        </w:rPr>
      </w:pPr>
      <w:r>
        <w:rPr>
          <w:rFonts w:hint="eastAsia" w:ascii="仿宋" w:hAnsi="仿宋" w:eastAsia="仿宋" w:cs="宋体"/>
          <w:color w:val="000000"/>
          <w:kern w:val="0"/>
          <w:sz w:val="32"/>
          <w:szCs w:val="32"/>
          <w:shd w:val="clear" w:color="auto" w:fill="FFFFFF"/>
          <w:lang w:val="en-US" w:eastAsia="zh-CN" w:bidi="ar-SA"/>
        </w:rPr>
        <w:t>4、</w:t>
      </w:r>
      <w:r>
        <w:rPr>
          <w:rFonts w:hint="default" w:ascii="仿宋" w:hAnsi="仿宋" w:eastAsia="仿宋" w:cs="宋体"/>
          <w:color w:val="000000"/>
          <w:kern w:val="0"/>
          <w:sz w:val="32"/>
          <w:szCs w:val="32"/>
          <w:shd w:val="clear" w:color="auto" w:fill="FFFFFF"/>
          <w:lang w:val="en-US" w:eastAsia="zh-CN" w:bidi="ar-SA"/>
        </w:rPr>
        <w:t>加强与其他部门的沟通与协作，共同推进学校整体发展战略的实现</w:t>
      </w:r>
      <w:r>
        <w:rPr>
          <w:rFonts w:hint="eastAsia" w:ascii="仿宋" w:hAnsi="仿宋" w:eastAsia="仿宋" w:cs="宋体"/>
          <w:color w:val="000000"/>
          <w:kern w:val="0"/>
          <w:sz w:val="32"/>
          <w:szCs w:val="32"/>
          <w:shd w:val="clear" w:color="auto" w:fill="FFFFFF"/>
          <w:lang w:val="en-US" w:eastAsia="zh-CN" w:bidi="ar-SA"/>
        </w:rPr>
        <w:t>；进一步加强预算管理意识，严格按照预算编制的相关制度和要求，公用经费根据单位的年度工作重点和项目专项工作规划，本着“勤俭节约、保障运转”的原则进行预算的编制。在预算编制时首先需满足固定性的、相对刚性的费用支出项目，尽量压缩变动性的、有控制空间的费用项目，进一步提高预算编制的科学性、合理性、严谨性和可控性。</w:t>
      </w:r>
      <w:r>
        <w:rPr>
          <w:rFonts w:hint="default" w:ascii="仿宋" w:hAnsi="仿宋" w:eastAsia="仿宋" w:cs="宋体"/>
          <w:color w:val="000000"/>
          <w:kern w:val="0"/>
          <w:sz w:val="32"/>
          <w:szCs w:val="32"/>
          <w:shd w:val="clear" w:color="auto" w:fill="FFFFFF"/>
          <w:lang w:val="en-US" w:eastAsia="zh-CN" w:bidi="ar-SA"/>
        </w:rPr>
        <w:t>通过以上改进措施的实施，本</w:t>
      </w:r>
      <w:r>
        <w:rPr>
          <w:rFonts w:hint="eastAsia" w:ascii="仿宋" w:hAnsi="仿宋" w:eastAsia="仿宋" w:cs="宋体"/>
          <w:color w:val="000000"/>
          <w:kern w:val="0"/>
          <w:sz w:val="32"/>
          <w:szCs w:val="32"/>
          <w:shd w:val="clear" w:color="auto" w:fill="FFFFFF"/>
          <w:lang w:val="en-US" w:eastAsia="zh-CN" w:bidi="ar-SA"/>
        </w:rPr>
        <w:t>单位</w:t>
      </w:r>
      <w:r>
        <w:rPr>
          <w:rFonts w:hint="default" w:ascii="仿宋" w:hAnsi="仿宋" w:eastAsia="仿宋" w:cs="宋体"/>
          <w:color w:val="000000"/>
          <w:kern w:val="0"/>
          <w:sz w:val="32"/>
          <w:szCs w:val="32"/>
          <w:shd w:val="clear" w:color="auto" w:fill="FFFFFF"/>
          <w:lang w:val="en-US" w:eastAsia="zh-CN" w:bidi="ar-SA"/>
        </w:rPr>
        <w:t>将进一步提高预算绩效管理工作水平，为学校的持续发展做出更大贡献。</w:t>
      </w:r>
    </w:p>
    <w:p w14:paraId="7CF2758B">
      <w:pPr>
        <w:pStyle w:val="7"/>
        <w:keepNext w:val="0"/>
        <w:keepLines w:val="0"/>
        <w:pageBreakBefore w:val="0"/>
        <w:numPr>
          <w:ilvl w:val="0"/>
          <w:numId w:val="0"/>
        </w:numPr>
        <w:kinsoku/>
        <w:wordWrap/>
        <w:overflowPunct/>
        <w:topLinePunct w:val="0"/>
        <w:autoSpaceDE/>
        <w:autoSpaceDN/>
        <w:bidi w:val="0"/>
        <w:spacing w:line="560" w:lineRule="exact"/>
        <w:textAlignment w:val="auto"/>
        <w:rPr>
          <w:rFonts w:hint="eastAsia" w:ascii="Times New Roman" w:hAnsi="Times New Roman" w:cs="Times New Roman"/>
          <w:sz w:val="32"/>
          <w:szCs w:val="32"/>
          <w:highlight w:val="yellow"/>
          <w:lang w:val="zh-CN" w:eastAsia="zh-CN"/>
        </w:rPr>
      </w:pPr>
    </w:p>
    <w:p w14:paraId="72A3E643">
      <w:pPr>
        <w:pStyle w:val="2"/>
        <w:rPr>
          <w:rFonts w:hint="eastAsia" w:ascii="Times New Roman" w:hAnsi="Times New Roman" w:cs="宋体"/>
          <w:color w:val="FF0000"/>
          <w:kern w:val="0"/>
          <w:sz w:val="32"/>
          <w:szCs w:val="32"/>
          <w:highlight w:val="yellow"/>
          <w:shd w:val="clear" w:color="auto" w:fill="FFFFFF"/>
          <w:lang w:val="zh-CN"/>
        </w:rPr>
      </w:pPr>
    </w:p>
    <w:p w14:paraId="717AA179">
      <w:pPr>
        <w:rPr>
          <w:rFonts w:hint="eastAsia" w:ascii="Times New Roman" w:hAnsi="Times New Roman" w:eastAsia="黑体" w:cs="黑体"/>
          <w:color w:val="auto"/>
          <w:kern w:val="0"/>
          <w:sz w:val="32"/>
          <w:szCs w:val="32"/>
          <w:highlight w:val="none"/>
          <w:shd w:val="clear" w:color="auto" w:fill="FFFFFF"/>
          <w:lang w:val="zh-CN"/>
        </w:rPr>
      </w:pPr>
      <w:r>
        <w:rPr>
          <w:rFonts w:hint="eastAsia" w:ascii="Times New Roman" w:hAnsi="Times New Roman" w:eastAsia="黑体" w:cs="黑体"/>
          <w:color w:val="auto"/>
          <w:kern w:val="0"/>
          <w:sz w:val="32"/>
          <w:szCs w:val="32"/>
          <w:highlight w:val="none"/>
          <w:shd w:val="clear" w:color="auto" w:fill="FFFFFF"/>
          <w:lang w:val="zh-CN"/>
        </w:rPr>
        <w:br w:type="page"/>
      </w:r>
    </w:p>
    <w:p w14:paraId="691AFEC2">
      <w:pPr>
        <w:pStyle w:val="2"/>
        <w:outlineLvl w:val="0"/>
        <w:rPr>
          <w:rFonts w:hint="eastAsia" w:ascii="Times New Roman" w:hAnsi="Times New Roman" w:eastAsia="黑体" w:cs="黑体"/>
          <w:color w:val="auto"/>
          <w:kern w:val="0"/>
          <w:sz w:val="32"/>
          <w:szCs w:val="32"/>
          <w:highlight w:val="none"/>
          <w:shd w:val="clear" w:color="auto" w:fill="FFFFFF"/>
          <w:lang w:val="en-US" w:eastAsia="zh-CN"/>
        </w:rPr>
      </w:pPr>
      <w:r>
        <w:rPr>
          <w:rFonts w:hint="eastAsia" w:ascii="Times New Roman" w:hAnsi="Times New Roman" w:eastAsia="黑体" w:cs="黑体"/>
          <w:color w:val="auto"/>
          <w:kern w:val="0"/>
          <w:sz w:val="32"/>
          <w:szCs w:val="32"/>
          <w:highlight w:val="none"/>
          <w:shd w:val="clear" w:color="auto" w:fill="FFFFFF"/>
          <w:lang w:val="zh-CN"/>
        </w:rPr>
        <w:t>附件</w:t>
      </w:r>
      <w:r>
        <w:rPr>
          <w:rFonts w:hint="eastAsia" w:ascii="Times New Roman" w:hAnsi="Times New Roman" w:eastAsia="黑体" w:cs="黑体"/>
          <w:color w:val="auto"/>
          <w:kern w:val="0"/>
          <w:sz w:val="32"/>
          <w:szCs w:val="32"/>
          <w:highlight w:val="none"/>
          <w:shd w:val="clear" w:color="auto" w:fill="FFFFFF"/>
          <w:lang w:val="en-US" w:eastAsia="zh-CN"/>
        </w:rPr>
        <w:t>2</w:t>
      </w:r>
    </w:p>
    <w:p w14:paraId="7B903BEE">
      <w:pPr>
        <w:pStyle w:val="2"/>
        <w:rPr>
          <w:rFonts w:hint="eastAsia" w:ascii="Times New Roman" w:hAnsi="Times New Roman" w:eastAsia="黑体" w:cs="黑体"/>
          <w:color w:val="auto"/>
          <w:kern w:val="0"/>
          <w:sz w:val="32"/>
          <w:szCs w:val="32"/>
          <w:highlight w:val="none"/>
          <w:shd w:val="clear" w:color="auto" w:fill="FFFFFF"/>
          <w:lang w:val="en-US" w:eastAsia="zh-CN"/>
        </w:rPr>
      </w:pPr>
    </w:p>
    <w:tbl>
      <w:tblPr>
        <w:tblStyle w:val="16"/>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552"/>
        <w:gridCol w:w="575"/>
        <w:gridCol w:w="732"/>
        <w:gridCol w:w="1410"/>
        <w:gridCol w:w="339"/>
        <w:gridCol w:w="678"/>
        <w:gridCol w:w="339"/>
        <w:gridCol w:w="809"/>
        <w:gridCol w:w="405"/>
        <w:gridCol w:w="319"/>
        <w:gridCol w:w="2273"/>
      </w:tblGrid>
      <w:tr w14:paraId="73FC8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939" w:type="pct"/>
            <w:gridSpan w:val="4"/>
            <w:tcBorders>
              <w:top w:val="nil"/>
              <w:left w:val="nil"/>
              <w:bottom w:val="nil"/>
              <w:right w:val="nil"/>
            </w:tcBorders>
            <w:shd w:val="clear" w:color="auto" w:fill="auto"/>
            <w:vAlign w:val="center"/>
          </w:tcPr>
          <w:p w14:paraId="50DF93A2">
            <w:pPr>
              <w:keepNext w:val="0"/>
              <w:keepLines w:val="0"/>
              <w:widowControl/>
              <w:suppressLineNumbers w:val="0"/>
              <w:snapToGrid w:val="0"/>
              <w:jc w:val="left"/>
              <w:textAlignment w:val="center"/>
              <w:rPr>
                <w:rFonts w:ascii="宋体" w:hAnsi="宋体" w:eastAsia="宋体" w:cs="宋体"/>
                <w:i w:val="0"/>
                <w:iCs w:val="0"/>
                <w:color w:val="C0C0C0"/>
                <w:sz w:val="20"/>
                <w:szCs w:val="20"/>
                <w:u w:val="none"/>
              </w:rPr>
            </w:pPr>
            <w:r>
              <w:rPr>
                <w:rFonts w:ascii="宋体" w:hAnsi="宋体" w:eastAsia="宋体" w:cs="宋体"/>
                <w:i w:val="0"/>
                <w:iCs w:val="0"/>
                <w:color w:val="C0C0C0"/>
                <w:kern w:val="0"/>
                <w:sz w:val="20"/>
                <w:szCs w:val="20"/>
                <w:u w:val="none"/>
                <w:lang w:val="en-US" w:eastAsia="zh-CN" w:bidi="ar"/>
              </w:rPr>
              <w:t>报表编号：510000_0013zp</w:t>
            </w:r>
          </w:p>
        </w:tc>
        <w:tc>
          <w:tcPr>
            <w:tcW w:w="201" w:type="pct"/>
            <w:tcBorders>
              <w:top w:val="nil"/>
              <w:left w:val="nil"/>
              <w:bottom w:val="nil"/>
              <w:right w:val="nil"/>
            </w:tcBorders>
            <w:shd w:val="clear" w:color="auto" w:fill="auto"/>
            <w:noWrap/>
            <w:vAlign w:val="center"/>
          </w:tcPr>
          <w:p w14:paraId="401D5901">
            <w:pPr>
              <w:snapToGrid w:val="0"/>
              <w:rPr>
                <w:rFonts w:hint="eastAsia" w:ascii="宋体" w:hAnsi="宋体" w:eastAsia="宋体" w:cs="宋体"/>
                <w:i w:val="0"/>
                <w:iCs w:val="0"/>
                <w:color w:val="000000"/>
                <w:sz w:val="22"/>
                <w:szCs w:val="22"/>
                <w:u w:val="none"/>
              </w:rPr>
            </w:pPr>
          </w:p>
        </w:tc>
        <w:tc>
          <w:tcPr>
            <w:tcW w:w="1082" w:type="pct"/>
            <w:gridSpan w:val="3"/>
            <w:tcBorders>
              <w:top w:val="nil"/>
              <w:left w:val="nil"/>
              <w:bottom w:val="nil"/>
              <w:right w:val="nil"/>
            </w:tcBorders>
            <w:shd w:val="clear" w:color="auto" w:fill="auto"/>
            <w:vAlign w:val="center"/>
          </w:tcPr>
          <w:p w14:paraId="700C68BB">
            <w:pPr>
              <w:snapToGrid w:val="0"/>
              <w:rPr>
                <w:rFonts w:hint="eastAsia" w:ascii="宋体" w:hAnsi="宋体" w:eastAsia="宋体" w:cs="宋体"/>
                <w:i w:val="0"/>
                <w:iCs w:val="0"/>
                <w:color w:val="000000"/>
                <w:sz w:val="20"/>
                <w:szCs w:val="20"/>
                <w:u w:val="none"/>
              </w:rPr>
            </w:pPr>
          </w:p>
        </w:tc>
        <w:tc>
          <w:tcPr>
            <w:tcW w:w="240" w:type="pct"/>
            <w:tcBorders>
              <w:top w:val="nil"/>
              <w:left w:val="nil"/>
              <w:bottom w:val="nil"/>
              <w:right w:val="nil"/>
            </w:tcBorders>
            <w:shd w:val="clear" w:color="auto" w:fill="auto"/>
            <w:noWrap/>
            <w:vAlign w:val="center"/>
          </w:tcPr>
          <w:p w14:paraId="49A18F96">
            <w:pPr>
              <w:snapToGrid w:val="0"/>
              <w:rPr>
                <w:rFonts w:hint="eastAsia" w:ascii="宋体" w:hAnsi="宋体" w:eastAsia="宋体" w:cs="宋体"/>
                <w:i w:val="0"/>
                <w:iCs w:val="0"/>
                <w:color w:val="000000"/>
                <w:sz w:val="22"/>
                <w:szCs w:val="22"/>
                <w:u w:val="none"/>
              </w:rPr>
            </w:pPr>
          </w:p>
        </w:tc>
        <w:tc>
          <w:tcPr>
            <w:tcW w:w="189" w:type="pct"/>
            <w:tcBorders>
              <w:top w:val="nil"/>
              <w:left w:val="nil"/>
              <w:bottom w:val="nil"/>
              <w:right w:val="nil"/>
            </w:tcBorders>
            <w:shd w:val="clear" w:color="auto" w:fill="auto"/>
            <w:noWrap/>
            <w:vAlign w:val="center"/>
          </w:tcPr>
          <w:p w14:paraId="47AA6382">
            <w:pPr>
              <w:snapToGrid w:val="0"/>
              <w:rPr>
                <w:rFonts w:hint="eastAsia" w:ascii="宋体" w:hAnsi="宋体" w:eastAsia="宋体" w:cs="宋体"/>
                <w:i w:val="0"/>
                <w:iCs w:val="0"/>
                <w:color w:val="000000"/>
                <w:sz w:val="22"/>
                <w:szCs w:val="22"/>
                <w:u w:val="none"/>
              </w:rPr>
            </w:pPr>
          </w:p>
        </w:tc>
        <w:tc>
          <w:tcPr>
            <w:tcW w:w="1346" w:type="pct"/>
            <w:tcBorders>
              <w:top w:val="nil"/>
              <w:left w:val="nil"/>
              <w:bottom w:val="nil"/>
              <w:right w:val="nil"/>
            </w:tcBorders>
            <w:shd w:val="clear" w:color="auto" w:fill="auto"/>
            <w:noWrap/>
            <w:vAlign w:val="center"/>
          </w:tcPr>
          <w:p w14:paraId="20B209F6">
            <w:pPr>
              <w:snapToGrid w:val="0"/>
              <w:rPr>
                <w:rFonts w:hint="eastAsia" w:ascii="宋体" w:hAnsi="宋体" w:eastAsia="宋体" w:cs="宋体"/>
                <w:i w:val="0"/>
                <w:iCs w:val="0"/>
                <w:color w:val="000000"/>
                <w:sz w:val="22"/>
                <w:szCs w:val="22"/>
                <w:u w:val="none"/>
              </w:rPr>
            </w:pPr>
          </w:p>
        </w:tc>
      </w:tr>
      <w:tr w14:paraId="54904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31A7DF53">
            <w:pPr>
              <w:keepNext w:val="0"/>
              <w:keepLines w:val="0"/>
              <w:widowControl/>
              <w:suppressLineNumbers w:val="0"/>
              <w:snapToGrid w:val="0"/>
              <w:jc w:val="center"/>
              <w:textAlignment w:val="center"/>
              <w:rPr>
                <w:rFonts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56402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79AA2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A712D22">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51340022T000005620427-州级职教专项经费</w:t>
            </w:r>
          </w:p>
        </w:tc>
      </w:tr>
      <w:tr w14:paraId="29C2E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C6A0A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8FF4A03">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35FCFD08">
            <w:pPr>
              <w:keepNext w:val="0"/>
              <w:keepLines w:val="0"/>
              <w:widowControl/>
              <w:suppressLineNumbers w:val="0"/>
              <w:snapToGrid w:val="0"/>
              <w:jc w:val="left"/>
              <w:textAlignment w:val="center"/>
              <w:rPr>
                <w:rFonts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CF535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54B19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29264F">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A3F99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43FBB1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6F41B4B">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3218E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2A7123">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5064B0">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F237BB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维修改造畜牧实训室1个，采购实训设备一批。</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1A1AAAE">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维修改造畜牧实训室1个，采购实训设备一批。</w:t>
            </w:r>
          </w:p>
        </w:tc>
      </w:tr>
      <w:tr w14:paraId="02666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5B2FC9">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0F61B8">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75755B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维修改造畜牧实训室1个，采购实训设备一批。</w:t>
            </w:r>
          </w:p>
        </w:tc>
      </w:tr>
      <w:tr w14:paraId="3E961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9F203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1D6F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3B5E2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9885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876DB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C6529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2E62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B037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F0956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49836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F8994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53A2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08DB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36.00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7FBE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35.88</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86F82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35.88</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8161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22CE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7FB6F">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75077A">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项目采购支付35.88万元。</w:t>
            </w:r>
          </w:p>
        </w:tc>
      </w:tr>
      <w:tr w14:paraId="5432E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D68C08">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5BA2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5FB5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36.00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6441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35.88</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37977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35.88</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7D70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0BEB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F443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C9879F">
            <w:pPr>
              <w:snapToGrid w:val="0"/>
              <w:rPr>
                <w:rFonts w:hint="eastAsia" w:ascii="黑体" w:hAnsi="黑体" w:eastAsia="黑体" w:cs="黑体"/>
                <w:i/>
                <w:iCs/>
                <w:color w:val="000000"/>
                <w:sz w:val="18"/>
                <w:szCs w:val="18"/>
                <w:u w:val="none"/>
              </w:rPr>
            </w:pPr>
          </w:p>
        </w:tc>
      </w:tr>
      <w:tr w14:paraId="7AFC5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4D640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B82B6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5F543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EC2C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3CCA7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6FEEE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2D1B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72B5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63C2AB">
            <w:pPr>
              <w:snapToGrid w:val="0"/>
              <w:rPr>
                <w:rFonts w:hint="eastAsia" w:ascii="黑体" w:hAnsi="黑体" w:eastAsia="黑体" w:cs="黑体"/>
                <w:i/>
                <w:iCs/>
                <w:color w:val="000000"/>
                <w:sz w:val="18"/>
                <w:szCs w:val="18"/>
                <w:u w:val="none"/>
              </w:rPr>
            </w:pPr>
          </w:p>
        </w:tc>
      </w:tr>
      <w:tr w14:paraId="313A4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9B8062">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8D98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EE94C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3E1D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9D299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8931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92EC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2F06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46D58F">
            <w:pPr>
              <w:snapToGrid w:val="0"/>
              <w:rPr>
                <w:rFonts w:hint="eastAsia" w:ascii="黑体" w:hAnsi="黑体" w:eastAsia="黑体" w:cs="黑体"/>
                <w:i/>
                <w:iCs/>
                <w:color w:val="000000"/>
                <w:sz w:val="18"/>
                <w:szCs w:val="18"/>
                <w:u w:val="none"/>
              </w:rPr>
            </w:pPr>
          </w:p>
        </w:tc>
      </w:tr>
      <w:tr w14:paraId="2D3EF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6B25BC">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2443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53C64">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2C313">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CA276C">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FB6A82">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4EED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9E5F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666D08">
            <w:pPr>
              <w:snapToGrid w:val="0"/>
              <w:rPr>
                <w:rFonts w:hint="eastAsia" w:ascii="黑体" w:hAnsi="黑体" w:eastAsia="黑体" w:cs="黑体"/>
                <w:i/>
                <w:iCs/>
                <w:color w:val="000000"/>
                <w:sz w:val="18"/>
                <w:szCs w:val="18"/>
                <w:u w:val="none"/>
              </w:rPr>
            </w:pPr>
          </w:p>
        </w:tc>
      </w:tr>
      <w:tr w14:paraId="21461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C613D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84D7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E993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121D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28C0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78B2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B111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82C0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3D9D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34AE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2A98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36643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0D938">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F53DE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D1DEA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4E51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新增实训室数量</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E498A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BFD6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6906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个</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F6A77">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877D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D3665">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01308">
            <w:pPr>
              <w:snapToGrid w:val="0"/>
              <w:jc w:val="center"/>
              <w:rPr>
                <w:rFonts w:hint="eastAsia" w:ascii="微软雅黑" w:hAnsi="微软雅黑" w:eastAsia="微软雅黑" w:cs="微软雅黑"/>
                <w:i/>
                <w:iCs/>
                <w:color w:val="000000"/>
                <w:sz w:val="16"/>
                <w:szCs w:val="16"/>
                <w:u w:val="none"/>
              </w:rPr>
            </w:pPr>
          </w:p>
        </w:tc>
      </w:tr>
      <w:tr w14:paraId="44362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266616">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A3C699">
            <w:pPr>
              <w:snapToGrid w:val="0"/>
              <w:jc w:val="center"/>
              <w:rPr>
                <w:rFonts w:hint="eastAsia" w:ascii="宋体" w:hAnsi="宋体" w:eastAsia="宋体" w:cs="宋体"/>
                <w:i w:val="0"/>
                <w:iCs w:val="0"/>
                <w:color w:val="000000"/>
                <w:sz w:val="18"/>
                <w:szCs w:val="18"/>
                <w:u w:val="none"/>
              </w:rPr>
            </w:pPr>
          </w:p>
        </w:tc>
        <w:tc>
          <w:tcPr>
            <w:tcW w:w="4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D7435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86F11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 xml:space="preserve">设备质量合格率 </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03AA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89B1B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4587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D92BA">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3F37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A89AB">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93A188">
            <w:pPr>
              <w:snapToGrid w:val="0"/>
              <w:jc w:val="center"/>
              <w:rPr>
                <w:rFonts w:hint="eastAsia" w:ascii="微软雅黑" w:hAnsi="微软雅黑" w:eastAsia="微软雅黑" w:cs="微软雅黑"/>
                <w:i/>
                <w:iCs/>
                <w:color w:val="000000"/>
                <w:sz w:val="16"/>
                <w:szCs w:val="16"/>
                <w:u w:val="none"/>
              </w:rPr>
            </w:pPr>
          </w:p>
        </w:tc>
      </w:tr>
      <w:tr w14:paraId="09671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7EA331">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D6EB67">
            <w:pPr>
              <w:snapToGrid w:val="0"/>
              <w:jc w:val="center"/>
              <w:rPr>
                <w:rFonts w:hint="eastAsia" w:ascii="宋体" w:hAnsi="宋体" w:eastAsia="宋体" w:cs="宋体"/>
                <w:i w:val="0"/>
                <w:iCs w:val="0"/>
                <w:color w:val="000000"/>
                <w:sz w:val="18"/>
                <w:szCs w:val="18"/>
                <w:u w:val="none"/>
              </w:rPr>
            </w:pPr>
          </w:p>
        </w:tc>
        <w:tc>
          <w:tcPr>
            <w:tcW w:w="4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94D861">
            <w:pPr>
              <w:snapToGrid w:val="0"/>
              <w:jc w:val="center"/>
              <w:rPr>
                <w:rFonts w:hint="eastAsia" w:ascii="宋体" w:hAnsi="宋体" w:eastAsia="宋体" w:cs="宋体"/>
                <w:i w:val="0"/>
                <w:iCs w:val="0"/>
                <w:color w:val="000000"/>
                <w:sz w:val="18"/>
                <w:szCs w:val="18"/>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A0B6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工程验收合格率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496C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499C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3152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FA0A1A">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5F10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48B8C">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98458">
            <w:pPr>
              <w:snapToGrid w:val="0"/>
              <w:jc w:val="center"/>
              <w:rPr>
                <w:rFonts w:hint="eastAsia" w:ascii="微软雅黑" w:hAnsi="微软雅黑" w:eastAsia="微软雅黑" w:cs="微软雅黑"/>
                <w:i/>
                <w:iCs/>
                <w:color w:val="000000"/>
                <w:sz w:val="16"/>
                <w:szCs w:val="16"/>
                <w:u w:val="none"/>
              </w:rPr>
            </w:pPr>
          </w:p>
        </w:tc>
      </w:tr>
      <w:tr w14:paraId="743C2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AE810D">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64C671">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FC8A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40A04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项目完成时间</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9925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BAD0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2022</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F79E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17B6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080AE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20916">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E9B9D">
            <w:pPr>
              <w:snapToGrid w:val="0"/>
              <w:jc w:val="center"/>
              <w:rPr>
                <w:rFonts w:hint="eastAsia" w:ascii="微软雅黑" w:hAnsi="微软雅黑" w:eastAsia="微软雅黑" w:cs="微软雅黑"/>
                <w:i/>
                <w:iCs/>
                <w:color w:val="000000"/>
                <w:sz w:val="16"/>
                <w:szCs w:val="16"/>
                <w:u w:val="none"/>
              </w:rPr>
            </w:pPr>
          </w:p>
        </w:tc>
      </w:tr>
      <w:tr w14:paraId="4134E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466357">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48037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1B6AD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可持续发展指标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7A921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设备利用率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BDF14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9C60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91</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DE39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EA51E">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715F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A62FC">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108F5">
            <w:pPr>
              <w:snapToGrid w:val="0"/>
              <w:jc w:val="center"/>
              <w:rPr>
                <w:rFonts w:hint="eastAsia" w:ascii="微软雅黑" w:hAnsi="微软雅黑" w:eastAsia="微软雅黑" w:cs="微软雅黑"/>
                <w:i/>
                <w:iCs/>
                <w:color w:val="000000"/>
                <w:sz w:val="16"/>
                <w:szCs w:val="16"/>
                <w:u w:val="none"/>
              </w:rPr>
            </w:pPr>
          </w:p>
        </w:tc>
      </w:tr>
      <w:tr w14:paraId="3AC1B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3B2D31">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772137">
            <w:pPr>
              <w:snapToGrid w:val="0"/>
              <w:jc w:val="center"/>
              <w:rPr>
                <w:rFonts w:hint="eastAsia" w:ascii="宋体" w:hAnsi="宋体" w:eastAsia="宋体" w:cs="宋体"/>
                <w:i w:val="0"/>
                <w:iCs w:val="0"/>
                <w:color w:val="000000"/>
                <w:sz w:val="18"/>
                <w:szCs w:val="18"/>
                <w:u w:val="none"/>
              </w:rPr>
            </w:pPr>
          </w:p>
        </w:tc>
        <w:tc>
          <w:tcPr>
            <w:tcW w:w="4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9C923D">
            <w:pPr>
              <w:snapToGrid w:val="0"/>
              <w:jc w:val="center"/>
              <w:rPr>
                <w:rFonts w:hint="eastAsia" w:ascii="宋体" w:hAnsi="宋体" w:eastAsia="宋体" w:cs="宋体"/>
                <w:i w:val="0"/>
                <w:iCs w:val="0"/>
                <w:color w:val="000000"/>
                <w:sz w:val="18"/>
                <w:szCs w:val="18"/>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5520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设备使用年限</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EDD0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7764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5151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B3CE7">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C48F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FFB69">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C13F59">
            <w:pPr>
              <w:snapToGrid w:val="0"/>
              <w:jc w:val="center"/>
              <w:rPr>
                <w:rFonts w:hint="eastAsia" w:ascii="微软雅黑" w:hAnsi="微软雅黑" w:eastAsia="微软雅黑" w:cs="微软雅黑"/>
                <w:i/>
                <w:iCs/>
                <w:color w:val="000000"/>
                <w:sz w:val="16"/>
                <w:szCs w:val="16"/>
                <w:u w:val="none"/>
              </w:rPr>
            </w:pPr>
          </w:p>
        </w:tc>
      </w:tr>
      <w:tr w14:paraId="56872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066963">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7DDD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1EF4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37C8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使用人员满意度</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4E3E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0376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09DE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F9F84">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595A8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53FD2D">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120383">
            <w:pPr>
              <w:snapToGrid w:val="0"/>
              <w:jc w:val="center"/>
              <w:rPr>
                <w:rFonts w:hint="eastAsia" w:ascii="微软雅黑" w:hAnsi="微软雅黑" w:eastAsia="微软雅黑" w:cs="微软雅黑"/>
                <w:i/>
                <w:iCs/>
                <w:color w:val="000000"/>
                <w:sz w:val="16"/>
                <w:szCs w:val="16"/>
                <w:u w:val="none"/>
              </w:rPr>
            </w:pPr>
          </w:p>
        </w:tc>
      </w:tr>
      <w:tr w14:paraId="2F9C1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6B0331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2640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11C8D">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7CB43">
            <w:pPr>
              <w:snapToGrid w:val="0"/>
              <w:rPr>
                <w:rFonts w:hint="eastAsia" w:ascii="宋体" w:hAnsi="宋体" w:eastAsia="宋体" w:cs="宋体"/>
                <w:i w:val="0"/>
                <w:iCs w:val="0"/>
                <w:color w:val="000000"/>
                <w:sz w:val="18"/>
                <w:szCs w:val="18"/>
                <w:u w:val="none"/>
              </w:rPr>
            </w:pPr>
          </w:p>
        </w:tc>
      </w:tr>
      <w:tr w14:paraId="2CA47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28C3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D4B714A">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维修改造畜牧实训室1个，采购实训设备一批。</w:t>
            </w:r>
          </w:p>
        </w:tc>
      </w:tr>
      <w:tr w14:paraId="5F3BB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565E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C635315">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70F41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8620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8393C53">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33AB4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4992BB7">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项目负责人：余彪、黄应富</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9D44E8A">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41620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3C214F31">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3FB07E8B">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6CD4D724">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5280D6D5">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5892ECAE">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61E1BAA6">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01291B9C">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4D376D49">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348D2940">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37B5103F">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59B6CB69">
            <w:pPr>
              <w:snapToGrid w:val="0"/>
              <w:rPr>
                <w:rFonts w:hint="eastAsia" w:ascii="宋体" w:hAnsi="宋体" w:eastAsia="宋体" w:cs="宋体"/>
                <w:i w:val="0"/>
                <w:iCs w:val="0"/>
                <w:color w:val="000000"/>
                <w:sz w:val="18"/>
                <w:szCs w:val="18"/>
                <w:u w:val="none"/>
              </w:rPr>
            </w:pPr>
          </w:p>
        </w:tc>
      </w:tr>
      <w:tr w14:paraId="56D8A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6AAAD681">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685C0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A9C6DC">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AB1F12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51340022T000005853039-中职国家助学金</w:t>
            </w:r>
          </w:p>
        </w:tc>
      </w:tr>
      <w:tr w14:paraId="33061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3E0AB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2F0D98">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46225A18">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A7391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44682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D79AD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3DBFE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5628AB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7C0CCEE">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1C136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5B5473">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1B6F2F">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31B9DF6">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通过发放国家助学金，使每一位学生生活上有一定的保障，能好好学习。</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4A0D09">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通过发放国家助学金，使每一位学生生活上有一定的保障，能好好学习。</w:t>
            </w:r>
          </w:p>
        </w:tc>
      </w:tr>
      <w:tr w14:paraId="6444D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CB0E18">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8326A">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CD9EB03">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前期通过新生学前教育、主题班会等对资助政策宣传，每学期第一个月月底开始逐一进班级对学籍进行核查，并对资助正常发放对社保卡的要求进行宣讲，为资助发放做好前提准备，后期严格对比学籍系统及资助名单进行助学金发放。</w:t>
            </w:r>
          </w:p>
        </w:tc>
      </w:tr>
      <w:tr w14:paraId="1B6B6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DD0FE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435A6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92FD1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51AD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DE6E1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DF42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60A83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E0E4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AE18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560EA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6A618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C07C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59E7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87.58</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28F0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372.38</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DA5B9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372.38</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3387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9383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8EDBB">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6CB6E8">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2024年1月9日上年结转安排中职助学金87.58万元；2024年4月26日根据凉财教〔2024〕24号、川财教〔2024〕6号，下达2024年部分学生资助补助经费预算253.58万元；2024年10月9日据凉财教〔2024〕95号、川财教〔2024〕36号文下达2024年第二批学生资助补助经费预算（中职奖助学金）31.22万元。</w:t>
            </w:r>
          </w:p>
        </w:tc>
      </w:tr>
      <w:tr w14:paraId="3EDCA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8DB0C9">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2E75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311D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87.58</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C987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372.38</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E8074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372.38</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FFDA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DA78D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B1FAA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3AA93D">
            <w:pPr>
              <w:snapToGrid w:val="0"/>
              <w:rPr>
                <w:rFonts w:hint="eastAsia" w:ascii="黑体" w:hAnsi="黑体" w:eastAsia="黑体" w:cs="黑体"/>
                <w:i/>
                <w:iCs/>
                <w:color w:val="000000"/>
                <w:sz w:val="18"/>
                <w:szCs w:val="18"/>
                <w:u w:val="none"/>
              </w:rPr>
            </w:pPr>
          </w:p>
        </w:tc>
      </w:tr>
      <w:tr w14:paraId="0CCEE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8AEE69">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97B0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1CFC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5034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DCD6E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D25B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D4AB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E2BA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0A08A4">
            <w:pPr>
              <w:snapToGrid w:val="0"/>
              <w:rPr>
                <w:rFonts w:hint="eastAsia" w:ascii="黑体" w:hAnsi="黑体" w:eastAsia="黑体" w:cs="黑体"/>
                <w:i/>
                <w:iCs/>
                <w:color w:val="000000"/>
                <w:sz w:val="18"/>
                <w:szCs w:val="18"/>
                <w:u w:val="none"/>
              </w:rPr>
            </w:pPr>
          </w:p>
        </w:tc>
      </w:tr>
      <w:tr w14:paraId="3631A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421A72">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A449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9956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D8D7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CFF85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B937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5777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1F0CF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8894D">
            <w:pPr>
              <w:snapToGrid w:val="0"/>
              <w:rPr>
                <w:rFonts w:hint="eastAsia" w:ascii="黑体" w:hAnsi="黑体" w:eastAsia="黑体" w:cs="黑体"/>
                <w:i/>
                <w:iCs/>
                <w:color w:val="000000"/>
                <w:sz w:val="18"/>
                <w:szCs w:val="18"/>
                <w:u w:val="none"/>
              </w:rPr>
            </w:pPr>
          </w:p>
        </w:tc>
      </w:tr>
      <w:tr w14:paraId="4A5EA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489D8D">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B14E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8A347B">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313F7">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75F09F">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CE658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033D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1185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2E25D2">
            <w:pPr>
              <w:snapToGrid w:val="0"/>
              <w:rPr>
                <w:rFonts w:hint="eastAsia" w:ascii="黑体" w:hAnsi="黑体" w:eastAsia="黑体" w:cs="黑体"/>
                <w:i/>
                <w:iCs/>
                <w:color w:val="000000"/>
                <w:sz w:val="18"/>
                <w:szCs w:val="18"/>
                <w:u w:val="none"/>
              </w:rPr>
            </w:pPr>
          </w:p>
        </w:tc>
      </w:tr>
      <w:tr w14:paraId="1F884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C8419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DF04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C998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3D62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365E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5D33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0703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6E60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16F1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BBA5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FE27F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5B930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C6637C">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9E977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E2BD4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1C43D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资助学生人数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57C9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E5C01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1700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4CE0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人/次</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C40BD">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3762</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4DAB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C425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1D446">
            <w:pPr>
              <w:snapToGrid w:val="0"/>
              <w:jc w:val="center"/>
              <w:rPr>
                <w:rFonts w:hint="eastAsia" w:ascii="微软雅黑" w:hAnsi="微软雅黑" w:eastAsia="微软雅黑" w:cs="微软雅黑"/>
                <w:i/>
                <w:iCs/>
                <w:color w:val="000000"/>
                <w:sz w:val="16"/>
                <w:szCs w:val="16"/>
                <w:u w:val="none"/>
              </w:rPr>
            </w:pPr>
          </w:p>
        </w:tc>
      </w:tr>
      <w:tr w14:paraId="7F688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866FD1">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72E3CB">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F039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2F5D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完成时间</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A4BE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B5343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12</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8F69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月</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86E89">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10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7C32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04A7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313AD">
            <w:pPr>
              <w:snapToGrid w:val="0"/>
              <w:jc w:val="center"/>
              <w:rPr>
                <w:rFonts w:hint="eastAsia" w:ascii="微软雅黑" w:hAnsi="微软雅黑" w:eastAsia="微软雅黑" w:cs="微软雅黑"/>
                <w:i/>
                <w:iCs/>
                <w:color w:val="000000"/>
                <w:sz w:val="16"/>
                <w:szCs w:val="16"/>
                <w:u w:val="none"/>
              </w:rPr>
            </w:pPr>
          </w:p>
        </w:tc>
      </w:tr>
      <w:tr w14:paraId="70165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47D237">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00AA0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E579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F411A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减少学生生活费用负担</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37C7A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B13B9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长期</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BC4B4">
            <w:pPr>
              <w:snapToGrid w:val="0"/>
              <w:jc w:val="center"/>
              <w:rPr>
                <w:rFonts w:hint="eastAsia" w:ascii="宋体" w:hAnsi="宋体" w:eastAsia="宋体" w:cs="宋体"/>
                <w:i w:val="0"/>
                <w:iCs w:val="0"/>
                <w:color w:val="000000"/>
                <w:sz w:val="18"/>
                <w:szCs w:val="18"/>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2832F">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长期</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43BC1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74C5C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93625">
            <w:pPr>
              <w:snapToGrid w:val="0"/>
              <w:jc w:val="center"/>
              <w:rPr>
                <w:rFonts w:hint="eastAsia" w:ascii="微软雅黑" w:hAnsi="微软雅黑" w:eastAsia="微软雅黑" w:cs="微软雅黑"/>
                <w:i/>
                <w:iCs/>
                <w:color w:val="000000"/>
                <w:sz w:val="16"/>
                <w:szCs w:val="16"/>
                <w:u w:val="none"/>
              </w:rPr>
            </w:pPr>
          </w:p>
        </w:tc>
      </w:tr>
      <w:tr w14:paraId="1D007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5EFE55">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803FE0">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0F7E4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可持续影响指标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B2D8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降低学生因贫辍学比例</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0B265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5474A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长期</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294FAF">
            <w:pPr>
              <w:snapToGrid w:val="0"/>
              <w:jc w:val="center"/>
              <w:rPr>
                <w:rFonts w:hint="eastAsia" w:ascii="宋体" w:hAnsi="宋体" w:eastAsia="宋体" w:cs="宋体"/>
                <w:i w:val="0"/>
                <w:iCs w:val="0"/>
                <w:color w:val="000000"/>
                <w:sz w:val="18"/>
                <w:szCs w:val="18"/>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900D28">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长期</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A87E9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DD3B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FD78A7">
            <w:pPr>
              <w:snapToGrid w:val="0"/>
              <w:jc w:val="center"/>
              <w:rPr>
                <w:rFonts w:hint="eastAsia" w:ascii="微软雅黑" w:hAnsi="微软雅黑" w:eastAsia="微软雅黑" w:cs="微软雅黑"/>
                <w:i/>
                <w:iCs/>
                <w:color w:val="000000"/>
                <w:sz w:val="16"/>
                <w:szCs w:val="16"/>
                <w:u w:val="none"/>
              </w:rPr>
            </w:pPr>
          </w:p>
        </w:tc>
      </w:tr>
      <w:tr w14:paraId="0CC1A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4EAC82">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C8F3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851D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FD85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学生及家长满意度</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3631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EF08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88</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7D44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8198D">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98%</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48BF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504D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F0FDD">
            <w:pPr>
              <w:snapToGrid w:val="0"/>
              <w:jc w:val="center"/>
              <w:rPr>
                <w:rFonts w:hint="eastAsia" w:ascii="微软雅黑" w:hAnsi="微软雅黑" w:eastAsia="微软雅黑" w:cs="微软雅黑"/>
                <w:i/>
                <w:iCs/>
                <w:color w:val="000000"/>
                <w:sz w:val="16"/>
                <w:szCs w:val="16"/>
                <w:u w:val="none"/>
              </w:rPr>
            </w:pPr>
          </w:p>
        </w:tc>
      </w:tr>
      <w:tr w14:paraId="1BAA3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88E169">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7A7A9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成本指标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1DA4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经济成本指标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1A427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生均成本</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7436F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42783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8E99B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元</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BA364">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2000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3E30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73A3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39E6FC">
            <w:pPr>
              <w:snapToGrid w:val="0"/>
              <w:jc w:val="center"/>
              <w:rPr>
                <w:rFonts w:hint="eastAsia" w:ascii="微软雅黑" w:hAnsi="微软雅黑" w:eastAsia="微软雅黑" w:cs="微软雅黑"/>
                <w:i/>
                <w:iCs/>
                <w:color w:val="000000"/>
                <w:sz w:val="16"/>
                <w:szCs w:val="16"/>
                <w:u w:val="none"/>
              </w:rPr>
            </w:pPr>
          </w:p>
        </w:tc>
      </w:tr>
      <w:tr w14:paraId="347B0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CEF52B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5555B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4309C">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DA2AE1">
            <w:pPr>
              <w:snapToGrid w:val="0"/>
              <w:rPr>
                <w:rFonts w:hint="eastAsia" w:ascii="宋体" w:hAnsi="宋体" w:eastAsia="宋体" w:cs="宋体"/>
                <w:i w:val="0"/>
                <w:iCs w:val="0"/>
                <w:color w:val="000000"/>
                <w:sz w:val="18"/>
                <w:szCs w:val="18"/>
                <w:u w:val="none"/>
              </w:rPr>
            </w:pPr>
          </w:p>
        </w:tc>
      </w:tr>
      <w:tr w14:paraId="267A5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8AEB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BBA2310">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我校助学金严格按照助学金发放流程及相关文件要求，及时进行了政策宣讲，答疑解惑，在学生社保卡出现问题时及时给出处理建议，帮助学生解决问题，并及时作出了失败重发。切实减轻了学生生活费用负担，降低了学生因贫辍学时间发生。</w:t>
            </w:r>
          </w:p>
        </w:tc>
      </w:tr>
      <w:tr w14:paraId="708F9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3939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D8AD9F1">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仍存在部分学生因年龄、姓名、身份证号等多种原因导致社保卡办理不顺畅，以及办卡后丢卡、卡销、卡信息不全等，导致国家助学金无法及时发放到账。</w:t>
            </w:r>
          </w:p>
        </w:tc>
      </w:tr>
      <w:tr w14:paraId="14CE3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02C3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848D879">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继续加强资助政策宣讲，加强班级管理，及时督促社保卡存在问题的学生及时处理社保卡问题，及时进行助学金重发。</w:t>
            </w:r>
          </w:p>
        </w:tc>
      </w:tr>
      <w:tr w14:paraId="4695E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D8AE45D">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项目负责人：毛桂荣</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B79CF56">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1A74B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1110" w:hRule="atLeast"/>
          <w:jc w:val="center"/>
        </w:trPr>
        <w:tc>
          <w:tcPr>
            <w:tcW w:w="328" w:type="pct"/>
            <w:tcBorders>
              <w:top w:val="nil"/>
              <w:left w:val="nil"/>
              <w:bottom w:val="nil"/>
              <w:right w:val="nil"/>
            </w:tcBorders>
            <w:shd w:val="clear" w:color="auto" w:fill="auto"/>
            <w:vAlign w:val="center"/>
          </w:tcPr>
          <w:p w14:paraId="5AF1542E">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2C112567">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2FE6A57F">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752AA449">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2E54B778">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5CF62BDF">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0CCAC1D3">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0E3A4731">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621C367D">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216F0D79">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31CB584A">
            <w:pPr>
              <w:snapToGrid w:val="0"/>
              <w:rPr>
                <w:rFonts w:hint="eastAsia" w:ascii="宋体" w:hAnsi="宋体" w:eastAsia="宋体" w:cs="宋体"/>
                <w:i w:val="0"/>
                <w:iCs w:val="0"/>
                <w:color w:val="000000"/>
                <w:sz w:val="18"/>
                <w:szCs w:val="18"/>
                <w:u w:val="none"/>
              </w:rPr>
            </w:pPr>
          </w:p>
        </w:tc>
      </w:tr>
      <w:tr w14:paraId="1925C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F688A3D">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6E65F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8A9A7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9C1A13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51340022T000005853128-中职免学费</w:t>
            </w:r>
          </w:p>
        </w:tc>
      </w:tr>
      <w:tr w14:paraId="07F2C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679CA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99B53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4AD7DE6C">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6D194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6C798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356292">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8E653B">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63F43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F4612B4">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44E2B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D9CC31">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D3023D">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70F5D2C">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维持学校日常运转，保障学校正常运行，提升学生教学质量。</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2C6E1CD">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维持学校日常运转，保障学校正常运行，提升学生教学质量。</w:t>
            </w:r>
          </w:p>
        </w:tc>
      </w:tr>
      <w:tr w14:paraId="7FB9F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EBFCE0">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DE0B9">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ACD9576">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学校严格控制各项资金的支出，保证专款专用。主要用于学校校园维修、教寝室维修费用，购买学生教学设备等日常教学开支。</w:t>
            </w:r>
          </w:p>
        </w:tc>
      </w:tr>
      <w:tr w14:paraId="594B2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5E8E3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F3FF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E883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591D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6634C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2E1F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ED29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163B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FC5C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166D0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7B279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18DE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9329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254.56</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92B2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599.97</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EBA4A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599.97</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180A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A6F9A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EEEB5">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A185AF">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学校校园维修、教寝室维修。</w:t>
            </w:r>
          </w:p>
        </w:tc>
      </w:tr>
      <w:tr w14:paraId="756EC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55CD8C">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0370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E0F0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254.56</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F2F1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599.97</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3D0A1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599.97</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00207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0322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E43E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747899">
            <w:pPr>
              <w:snapToGrid w:val="0"/>
              <w:rPr>
                <w:rFonts w:hint="eastAsia" w:ascii="黑体" w:hAnsi="黑体" w:eastAsia="黑体" w:cs="黑体"/>
                <w:i/>
                <w:iCs/>
                <w:color w:val="000000"/>
                <w:sz w:val="18"/>
                <w:szCs w:val="18"/>
                <w:u w:val="none"/>
              </w:rPr>
            </w:pPr>
          </w:p>
        </w:tc>
      </w:tr>
      <w:tr w14:paraId="01A3B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18EC8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E633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52EDB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C5FB6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EE6E2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4857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05AC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CCF0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66389B">
            <w:pPr>
              <w:snapToGrid w:val="0"/>
              <w:rPr>
                <w:rFonts w:hint="eastAsia" w:ascii="黑体" w:hAnsi="黑体" w:eastAsia="黑体" w:cs="黑体"/>
                <w:i/>
                <w:iCs/>
                <w:color w:val="000000"/>
                <w:sz w:val="18"/>
                <w:szCs w:val="18"/>
                <w:u w:val="none"/>
              </w:rPr>
            </w:pPr>
          </w:p>
        </w:tc>
      </w:tr>
      <w:tr w14:paraId="56FD1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D917F5">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40B1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D8F3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9C69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C30D1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56CF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F760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C4380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05CA18">
            <w:pPr>
              <w:snapToGrid w:val="0"/>
              <w:rPr>
                <w:rFonts w:hint="eastAsia" w:ascii="黑体" w:hAnsi="黑体" w:eastAsia="黑体" w:cs="黑体"/>
                <w:i/>
                <w:iCs/>
                <w:color w:val="000000"/>
                <w:sz w:val="18"/>
                <w:szCs w:val="18"/>
                <w:u w:val="none"/>
              </w:rPr>
            </w:pPr>
          </w:p>
        </w:tc>
      </w:tr>
      <w:tr w14:paraId="20715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0EC34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0181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E626A">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3361E">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742709">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E711F">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15CA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9CD84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74CB0D">
            <w:pPr>
              <w:snapToGrid w:val="0"/>
              <w:rPr>
                <w:rFonts w:hint="eastAsia" w:ascii="黑体" w:hAnsi="黑体" w:eastAsia="黑体" w:cs="黑体"/>
                <w:i/>
                <w:iCs/>
                <w:color w:val="000000"/>
                <w:sz w:val="18"/>
                <w:szCs w:val="18"/>
                <w:u w:val="none"/>
              </w:rPr>
            </w:pPr>
          </w:p>
        </w:tc>
      </w:tr>
      <w:tr w14:paraId="3D417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87278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B9CC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90D3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B80E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B034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582F7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6917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456D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BC18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F726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C64F5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7EDF0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F4ED2A">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39B51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C469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F1BF8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在校学生人数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2077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086E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9D64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人</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4D170">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2912</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6069A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696663">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696DC">
            <w:pPr>
              <w:snapToGrid w:val="0"/>
              <w:jc w:val="center"/>
              <w:rPr>
                <w:rFonts w:hint="eastAsia" w:ascii="微软雅黑" w:hAnsi="微软雅黑" w:eastAsia="微软雅黑" w:cs="微软雅黑"/>
                <w:i/>
                <w:iCs/>
                <w:color w:val="000000"/>
                <w:sz w:val="16"/>
                <w:szCs w:val="16"/>
                <w:u w:val="none"/>
              </w:rPr>
            </w:pPr>
          </w:p>
        </w:tc>
      </w:tr>
      <w:tr w14:paraId="0BCBB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4699B4">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3E0E8D">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5CCC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FEE3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验收合格率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3454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783E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65E3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8E654">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92%</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A0280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69860">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FF22B">
            <w:pPr>
              <w:snapToGrid w:val="0"/>
              <w:jc w:val="center"/>
              <w:rPr>
                <w:rFonts w:hint="eastAsia" w:ascii="微软雅黑" w:hAnsi="微软雅黑" w:eastAsia="微软雅黑" w:cs="微软雅黑"/>
                <w:i/>
                <w:iCs/>
                <w:color w:val="000000"/>
                <w:sz w:val="16"/>
                <w:szCs w:val="16"/>
                <w:u w:val="none"/>
              </w:rPr>
            </w:pPr>
          </w:p>
        </w:tc>
      </w:tr>
      <w:tr w14:paraId="3C409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B79813">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B975C5">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F52A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4EA27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完成时间</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3343D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92B1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12</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28D08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月</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01DB2">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12</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1439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45A83">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ED5E6">
            <w:pPr>
              <w:snapToGrid w:val="0"/>
              <w:jc w:val="center"/>
              <w:rPr>
                <w:rFonts w:hint="eastAsia" w:ascii="微软雅黑" w:hAnsi="微软雅黑" w:eastAsia="微软雅黑" w:cs="微软雅黑"/>
                <w:i/>
                <w:iCs/>
                <w:color w:val="000000"/>
                <w:sz w:val="16"/>
                <w:szCs w:val="16"/>
                <w:u w:val="none"/>
              </w:rPr>
            </w:pPr>
          </w:p>
        </w:tc>
      </w:tr>
      <w:tr w14:paraId="5C74D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7F013F">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5DD64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A51F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06AE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保障学生能学到知识，将来为社会做贡献</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4602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24F2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长期</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583CF">
            <w:pPr>
              <w:snapToGrid w:val="0"/>
              <w:jc w:val="center"/>
              <w:rPr>
                <w:rFonts w:hint="eastAsia" w:ascii="宋体" w:hAnsi="宋体" w:eastAsia="宋体" w:cs="宋体"/>
                <w:i w:val="0"/>
                <w:iCs w:val="0"/>
                <w:color w:val="000000"/>
                <w:sz w:val="18"/>
                <w:szCs w:val="18"/>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87F6C">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长期</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733C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6AA1A">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937943">
            <w:pPr>
              <w:snapToGrid w:val="0"/>
              <w:jc w:val="center"/>
              <w:rPr>
                <w:rFonts w:hint="eastAsia" w:ascii="微软雅黑" w:hAnsi="微软雅黑" w:eastAsia="微软雅黑" w:cs="微软雅黑"/>
                <w:i/>
                <w:iCs/>
                <w:color w:val="000000"/>
                <w:sz w:val="16"/>
                <w:szCs w:val="16"/>
                <w:u w:val="none"/>
              </w:rPr>
            </w:pPr>
          </w:p>
        </w:tc>
      </w:tr>
      <w:tr w14:paraId="7DE01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5EB078">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56F9D3">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C4D4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可持续发展指标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2D41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维持学校日常运转</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E868B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3C2D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长期</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84EF0">
            <w:pPr>
              <w:snapToGrid w:val="0"/>
              <w:jc w:val="center"/>
              <w:rPr>
                <w:rFonts w:hint="eastAsia" w:ascii="宋体" w:hAnsi="宋体" w:eastAsia="宋体" w:cs="宋体"/>
                <w:i w:val="0"/>
                <w:iCs w:val="0"/>
                <w:color w:val="000000"/>
                <w:sz w:val="18"/>
                <w:szCs w:val="18"/>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C5427">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长期</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7A64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0DDB82">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3E11B">
            <w:pPr>
              <w:snapToGrid w:val="0"/>
              <w:jc w:val="center"/>
              <w:rPr>
                <w:rFonts w:hint="eastAsia" w:ascii="微软雅黑" w:hAnsi="微软雅黑" w:eastAsia="微软雅黑" w:cs="微软雅黑"/>
                <w:i/>
                <w:iCs/>
                <w:color w:val="000000"/>
                <w:sz w:val="16"/>
                <w:szCs w:val="16"/>
                <w:u w:val="none"/>
              </w:rPr>
            </w:pPr>
          </w:p>
        </w:tc>
      </w:tr>
      <w:tr w14:paraId="20E92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50D197">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D279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853D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76783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学生及家长满意度</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96E4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F288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335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37193">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90%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A5A3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430C3">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B903F">
            <w:pPr>
              <w:snapToGrid w:val="0"/>
              <w:jc w:val="center"/>
              <w:rPr>
                <w:rFonts w:hint="eastAsia" w:ascii="微软雅黑" w:hAnsi="微软雅黑" w:eastAsia="微软雅黑" w:cs="微软雅黑"/>
                <w:i/>
                <w:iCs/>
                <w:color w:val="000000"/>
                <w:sz w:val="16"/>
                <w:szCs w:val="16"/>
                <w:u w:val="none"/>
              </w:rPr>
            </w:pPr>
          </w:p>
        </w:tc>
      </w:tr>
      <w:tr w14:paraId="63DB0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C7423A">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F0BA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成本指标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1E4F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经济成本指标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A6D9F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生均成本</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BCA3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46182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1A59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元</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EDC28">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2000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41E2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AC1B67">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FA758">
            <w:pPr>
              <w:snapToGrid w:val="0"/>
              <w:jc w:val="center"/>
              <w:rPr>
                <w:rFonts w:hint="eastAsia" w:ascii="微软雅黑" w:hAnsi="微软雅黑" w:eastAsia="微软雅黑" w:cs="微软雅黑"/>
                <w:i/>
                <w:iCs/>
                <w:color w:val="000000"/>
                <w:sz w:val="16"/>
                <w:szCs w:val="16"/>
                <w:u w:val="none"/>
              </w:rPr>
            </w:pPr>
          </w:p>
        </w:tc>
      </w:tr>
      <w:tr w14:paraId="32931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963C11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530C7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38ACB6">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3DDDF">
            <w:pPr>
              <w:snapToGrid w:val="0"/>
              <w:rPr>
                <w:rFonts w:hint="eastAsia" w:ascii="宋体" w:hAnsi="宋体" w:eastAsia="宋体" w:cs="宋体"/>
                <w:i w:val="0"/>
                <w:iCs w:val="0"/>
                <w:color w:val="000000"/>
                <w:sz w:val="18"/>
                <w:szCs w:val="18"/>
                <w:u w:val="none"/>
              </w:rPr>
            </w:pPr>
          </w:p>
        </w:tc>
      </w:tr>
      <w:tr w14:paraId="1FD93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36CD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A158481">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资金弥补了学校日常公用经费的不足，保障了学校教育教学工作正常的开展。</w:t>
            </w:r>
          </w:p>
        </w:tc>
      </w:tr>
      <w:tr w14:paraId="5AEC7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64D1E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D510324">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6FCE8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F4398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64CA848">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38AD7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E6A684">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项目负责人：李箬晗</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AD18F46">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6EE50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495" w:hRule="atLeast"/>
          <w:jc w:val="center"/>
        </w:trPr>
        <w:tc>
          <w:tcPr>
            <w:tcW w:w="328" w:type="pct"/>
            <w:tcBorders>
              <w:top w:val="nil"/>
              <w:left w:val="nil"/>
              <w:bottom w:val="nil"/>
              <w:right w:val="nil"/>
            </w:tcBorders>
            <w:shd w:val="clear" w:color="auto" w:fill="auto"/>
            <w:vAlign w:val="center"/>
          </w:tcPr>
          <w:p w14:paraId="34524BFE">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64470384">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47A1E370">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14D46923">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3908CB91">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316607C7">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5F1AF295">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1A69E66D">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57C37E16">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187057B5">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77F796E5">
            <w:pPr>
              <w:snapToGrid w:val="0"/>
              <w:rPr>
                <w:rFonts w:hint="eastAsia" w:ascii="宋体" w:hAnsi="宋体" w:eastAsia="宋体" w:cs="宋体"/>
                <w:i w:val="0"/>
                <w:iCs w:val="0"/>
                <w:color w:val="000000"/>
                <w:sz w:val="18"/>
                <w:szCs w:val="18"/>
                <w:u w:val="none"/>
              </w:rPr>
            </w:pPr>
          </w:p>
        </w:tc>
      </w:tr>
      <w:tr w14:paraId="4F748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632C2DC">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07F14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01EA1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290ADA2">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51340022T000007302153-州级职教专项（技能检测经费）</w:t>
            </w:r>
          </w:p>
        </w:tc>
      </w:tr>
      <w:tr w14:paraId="73DB5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2B601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860F1CC">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2AA50EDC">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8FB47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11276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657F2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057498">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A4F854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8D647F8">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386BF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EB4F78">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BE791E">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4A4223">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做好中职学校技能检测考试，全面了解学生技能水平，为进一步提高中等职业学生技能操作水平打下基础。</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4C27D0">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做好中职学校技能检测考试，全面了解学生技能水平，为进一步提高中等职业学生技能操作水平打下基础。</w:t>
            </w:r>
          </w:p>
        </w:tc>
      </w:tr>
      <w:tr w14:paraId="7FB4A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93960C">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6027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4C994F7">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技能监测平台使用费、技能监测用品采购和技能监测劳务费等。</w:t>
            </w:r>
          </w:p>
        </w:tc>
      </w:tr>
      <w:tr w14:paraId="172E9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470FB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B68C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815F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248F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0792D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FA06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93EB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8BDC4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AF2E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2856C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42717C">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2048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66FA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2AE8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5.06</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4D041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5.06</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0658A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D119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C105E">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DFFF3A">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技能监测平台使用费、技能监测用品采购和技能监测劳务费。</w:t>
            </w:r>
          </w:p>
        </w:tc>
      </w:tr>
      <w:tr w14:paraId="1737D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5D0CA3">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5BE5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D07C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50DF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5.06</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818D3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5.06</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3E98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00DE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F0D7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BB375B">
            <w:pPr>
              <w:snapToGrid w:val="0"/>
              <w:rPr>
                <w:rFonts w:hint="eastAsia" w:ascii="黑体" w:hAnsi="黑体" w:eastAsia="黑体" w:cs="黑体"/>
                <w:i/>
                <w:iCs/>
                <w:color w:val="000000"/>
                <w:sz w:val="18"/>
                <w:szCs w:val="18"/>
                <w:u w:val="none"/>
              </w:rPr>
            </w:pPr>
          </w:p>
        </w:tc>
      </w:tr>
      <w:tr w14:paraId="6E210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5B7CE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1C7D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B0EE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E6F14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E0F14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0806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DC18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F2DE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28975A">
            <w:pPr>
              <w:snapToGrid w:val="0"/>
              <w:rPr>
                <w:rFonts w:hint="eastAsia" w:ascii="黑体" w:hAnsi="黑体" w:eastAsia="黑体" w:cs="黑体"/>
                <w:i/>
                <w:iCs/>
                <w:color w:val="000000"/>
                <w:sz w:val="18"/>
                <w:szCs w:val="18"/>
                <w:u w:val="none"/>
              </w:rPr>
            </w:pPr>
          </w:p>
        </w:tc>
      </w:tr>
      <w:tr w14:paraId="65AEE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E7DF8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77D5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35AF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CF09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25E23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D916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4B8D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2904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AB030B">
            <w:pPr>
              <w:snapToGrid w:val="0"/>
              <w:rPr>
                <w:rFonts w:hint="eastAsia" w:ascii="黑体" w:hAnsi="黑体" w:eastAsia="黑体" w:cs="黑体"/>
                <w:i/>
                <w:iCs/>
                <w:color w:val="000000"/>
                <w:sz w:val="18"/>
                <w:szCs w:val="18"/>
                <w:u w:val="none"/>
              </w:rPr>
            </w:pPr>
          </w:p>
        </w:tc>
      </w:tr>
      <w:tr w14:paraId="3C469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86CD25">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9EE5A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677D4F">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70BA09">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91D3EC">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D0C45">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3F33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A9544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A29F55">
            <w:pPr>
              <w:snapToGrid w:val="0"/>
              <w:rPr>
                <w:rFonts w:hint="eastAsia" w:ascii="黑体" w:hAnsi="黑体" w:eastAsia="黑体" w:cs="黑体"/>
                <w:i/>
                <w:iCs/>
                <w:color w:val="000000"/>
                <w:sz w:val="18"/>
                <w:szCs w:val="18"/>
                <w:u w:val="none"/>
              </w:rPr>
            </w:pPr>
          </w:p>
        </w:tc>
      </w:tr>
      <w:tr w14:paraId="3DB71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1E467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2AA0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35593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148C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11E3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31FD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B4B5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9654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0E84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35ED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4AFA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78419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5073D9">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44741D">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6B169">
            <w:pPr>
              <w:snapToGrid w:val="0"/>
              <w:jc w:val="center"/>
              <w:rPr>
                <w:rFonts w:hint="eastAsia" w:ascii="宋体" w:hAnsi="宋体" w:eastAsia="宋体" w:cs="宋体"/>
                <w:i w:val="0"/>
                <w:iCs w:val="0"/>
                <w:color w:val="000000"/>
                <w:sz w:val="18"/>
                <w:szCs w:val="18"/>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621BE">
            <w:pPr>
              <w:snapToGrid w:val="0"/>
              <w:jc w:val="center"/>
              <w:rPr>
                <w:rFonts w:hint="eastAsia" w:ascii="宋体" w:hAnsi="宋体" w:eastAsia="宋体" w:cs="宋体"/>
                <w:i w:val="0"/>
                <w:iCs w:val="0"/>
                <w:color w:val="000000"/>
                <w:sz w:val="18"/>
                <w:szCs w:val="18"/>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04890">
            <w:pPr>
              <w:snapToGrid w:val="0"/>
              <w:jc w:val="center"/>
              <w:rPr>
                <w:rFonts w:hint="eastAsia" w:ascii="宋体" w:hAnsi="宋体" w:eastAsia="宋体" w:cs="宋体"/>
                <w:i w:val="0"/>
                <w:iCs w:val="0"/>
                <w:color w:val="000000"/>
                <w:sz w:val="18"/>
                <w:szCs w:val="18"/>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369A1">
            <w:pPr>
              <w:snapToGrid w:val="0"/>
              <w:jc w:val="center"/>
              <w:rPr>
                <w:rFonts w:hint="eastAsia" w:ascii="宋体" w:hAnsi="宋体" w:eastAsia="宋体" w:cs="宋体"/>
                <w:i w:val="0"/>
                <w:iCs w:val="0"/>
                <w:color w:val="000000"/>
                <w:sz w:val="18"/>
                <w:szCs w:val="18"/>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39110">
            <w:pPr>
              <w:snapToGrid w:val="0"/>
              <w:jc w:val="center"/>
              <w:rPr>
                <w:rFonts w:hint="eastAsia" w:ascii="宋体" w:hAnsi="宋体" w:eastAsia="宋体" w:cs="宋体"/>
                <w:i w:val="0"/>
                <w:iCs w:val="0"/>
                <w:color w:val="000000"/>
                <w:sz w:val="18"/>
                <w:szCs w:val="18"/>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18311">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9D699">
            <w:pPr>
              <w:snapToGrid w:val="0"/>
              <w:jc w:val="center"/>
              <w:rPr>
                <w:rFonts w:hint="eastAsia" w:ascii="宋体" w:hAnsi="宋体" w:eastAsia="宋体" w:cs="宋体"/>
                <w:i w:val="0"/>
                <w:iCs w:val="0"/>
                <w:color w:val="000000"/>
                <w:sz w:val="18"/>
                <w:szCs w:val="18"/>
                <w:u w:val="none"/>
              </w:rPr>
            </w:pP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089C0">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34F7C">
            <w:pPr>
              <w:snapToGrid w:val="0"/>
              <w:jc w:val="center"/>
              <w:rPr>
                <w:rFonts w:hint="eastAsia" w:ascii="微软雅黑" w:hAnsi="微软雅黑" w:eastAsia="微软雅黑" w:cs="微软雅黑"/>
                <w:i/>
                <w:iCs/>
                <w:color w:val="000000"/>
                <w:sz w:val="16"/>
                <w:szCs w:val="16"/>
                <w:u w:val="none"/>
              </w:rPr>
            </w:pPr>
          </w:p>
        </w:tc>
      </w:tr>
      <w:tr w14:paraId="2E215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B0D9E4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30F9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3E486F">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DB867">
            <w:pPr>
              <w:snapToGrid w:val="0"/>
              <w:rPr>
                <w:rFonts w:hint="eastAsia" w:ascii="宋体" w:hAnsi="宋体" w:eastAsia="宋体" w:cs="宋体"/>
                <w:i w:val="0"/>
                <w:iCs w:val="0"/>
                <w:color w:val="000000"/>
                <w:sz w:val="18"/>
                <w:szCs w:val="18"/>
                <w:u w:val="none"/>
              </w:rPr>
            </w:pPr>
          </w:p>
        </w:tc>
      </w:tr>
      <w:tr w14:paraId="3B75C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CE65E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7DE411C">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做好中职学校技能检测考试，全面了解学生技能水平，为进一步提高中等职业学生技能操作水平打下基础。</w:t>
            </w:r>
          </w:p>
        </w:tc>
      </w:tr>
      <w:tr w14:paraId="0DD0B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8060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6B1D23C">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3A196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10745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9F26BE5">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1544F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E446F8">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项目负责人：余彪</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8A4B7D6">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4798C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980" w:hRule="atLeast"/>
          <w:jc w:val="center"/>
        </w:trPr>
        <w:tc>
          <w:tcPr>
            <w:tcW w:w="328" w:type="pct"/>
            <w:tcBorders>
              <w:top w:val="nil"/>
              <w:left w:val="nil"/>
              <w:bottom w:val="nil"/>
              <w:right w:val="nil"/>
            </w:tcBorders>
            <w:shd w:val="clear" w:color="auto" w:fill="auto"/>
            <w:vAlign w:val="center"/>
          </w:tcPr>
          <w:p w14:paraId="2170EFBD">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11FB1F5E">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2232EF92">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362E9106">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7B8E8BBD">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136AB4CD">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0845F3D6">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0681F203">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2D2A5476">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4AF60D09">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6B341487">
            <w:pPr>
              <w:snapToGrid w:val="0"/>
              <w:rPr>
                <w:rFonts w:hint="eastAsia" w:ascii="宋体" w:hAnsi="宋体" w:eastAsia="宋体" w:cs="宋体"/>
                <w:i w:val="0"/>
                <w:iCs w:val="0"/>
                <w:color w:val="000000"/>
                <w:sz w:val="18"/>
                <w:szCs w:val="18"/>
                <w:u w:val="none"/>
              </w:rPr>
            </w:pPr>
          </w:p>
        </w:tc>
      </w:tr>
      <w:tr w14:paraId="44052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10E7D190">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59287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86F29C">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C05ED1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51340023T000008367068-公共卫生特别服务岗待遇保障经费</w:t>
            </w:r>
          </w:p>
        </w:tc>
      </w:tr>
      <w:tr w14:paraId="0E3CF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E3F0F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D848F8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74860368">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69E26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38E5E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C168A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D7F62B">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52301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D6A8E9">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6CC37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9946BA">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C898F1">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E9C906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完成2名公共卫生特别服务岗待遇保障经费</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7B1DDE9">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按时支付学校两位校医工资和缴纳保险。</w:t>
            </w:r>
          </w:p>
        </w:tc>
      </w:tr>
      <w:tr w14:paraId="17724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B5EC5">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2EFC7">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934A4DE">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支付学校两位校医工资和保险。</w:t>
            </w:r>
          </w:p>
        </w:tc>
      </w:tr>
      <w:tr w14:paraId="0CE7E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D7E87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A0C0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A8B8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1F25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050BE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6E10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8EAF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9AA3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B42CD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56BBA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C74096">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B536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D618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16.00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F752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16.00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3FA8E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16.00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210E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5722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2B4B0">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8E9590">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1.预算执行率=预算执行数/调整后预算数，预算执行率未达到90%的需说明原因（100字以内）;2.年中发生预算调整的（追加或调减）,应单独说明理由；3.其他资金包括：社会投入资金、银行贷款.</w:t>
            </w:r>
          </w:p>
        </w:tc>
      </w:tr>
      <w:tr w14:paraId="3E809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98E34A">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65AD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5B44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16.00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92A0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16.00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DA034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16.00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E7BD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F0189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994B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975338">
            <w:pPr>
              <w:snapToGrid w:val="0"/>
              <w:rPr>
                <w:rFonts w:hint="eastAsia" w:ascii="黑体" w:hAnsi="黑体" w:eastAsia="黑体" w:cs="黑体"/>
                <w:i/>
                <w:iCs/>
                <w:color w:val="000000"/>
                <w:sz w:val="18"/>
                <w:szCs w:val="18"/>
                <w:u w:val="none"/>
              </w:rPr>
            </w:pPr>
          </w:p>
        </w:tc>
      </w:tr>
      <w:tr w14:paraId="6522A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9F1759">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B7BE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E8E9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891A4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FD815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9A95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2C56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C81C3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9E21E2">
            <w:pPr>
              <w:snapToGrid w:val="0"/>
              <w:rPr>
                <w:rFonts w:hint="eastAsia" w:ascii="黑体" w:hAnsi="黑体" w:eastAsia="黑体" w:cs="黑体"/>
                <w:i/>
                <w:iCs/>
                <w:color w:val="000000"/>
                <w:sz w:val="18"/>
                <w:szCs w:val="18"/>
                <w:u w:val="none"/>
              </w:rPr>
            </w:pPr>
          </w:p>
        </w:tc>
      </w:tr>
      <w:tr w14:paraId="0622B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6BB26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17FE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EC0B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C8EA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05D55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883B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67CF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9EE1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9124EC">
            <w:pPr>
              <w:snapToGrid w:val="0"/>
              <w:rPr>
                <w:rFonts w:hint="eastAsia" w:ascii="黑体" w:hAnsi="黑体" w:eastAsia="黑体" w:cs="黑体"/>
                <w:i/>
                <w:iCs/>
                <w:color w:val="000000"/>
                <w:sz w:val="18"/>
                <w:szCs w:val="18"/>
                <w:u w:val="none"/>
              </w:rPr>
            </w:pPr>
          </w:p>
        </w:tc>
      </w:tr>
      <w:tr w14:paraId="7E197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60FB01">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D5B1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396C72">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BFFC0">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5AD4B6">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E45BAE">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7A0AA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8C30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552AAC">
            <w:pPr>
              <w:snapToGrid w:val="0"/>
              <w:rPr>
                <w:rFonts w:hint="eastAsia" w:ascii="黑体" w:hAnsi="黑体" w:eastAsia="黑体" w:cs="黑体"/>
                <w:i/>
                <w:iCs/>
                <w:color w:val="000000"/>
                <w:sz w:val="18"/>
                <w:szCs w:val="18"/>
                <w:u w:val="none"/>
              </w:rPr>
            </w:pPr>
          </w:p>
        </w:tc>
      </w:tr>
      <w:tr w14:paraId="18328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71F8B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EE20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F432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F897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274D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AC55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814C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8752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CDDC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741E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B515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6D51D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B8BB1D">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918AB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035D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AAC3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医务人员人数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291C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F49B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BCF5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人</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0FF96">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8DCA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4569BD">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8777C">
            <w:pPr>
              <w:snapToGrid w:val="0"/>
              <w:jc w:val="center"/>
              <w:rPr>
                <w:rFonts w:hint="eastAsia" w:ascii="微软雅黑" w:hAnsi="微软雅黑" w:eastAsia="微软雅黑" w:cs="微软雅黑"/>
                <w:i/>
                <w:iCs/>
                <w:color w:val="000000"/>
                <w:sz w:val="16"/>
                <w:szCs w:val="16"/>
                <w:u w:val="none"/>
              </w:rPr>
            </w:pPr>
          </w:p>
        </w:tc>
      </w:tr>
      <w:tr w14:paraId="3900C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D527A6">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2609F5">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6DE2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7216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保障学校师生员工的日常医务工作</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E9EF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CF84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3118</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CA04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人</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EE374">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B29D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22E055">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10953">
            <w:pPr>
              <w:snapToGrid w:val="0"/>
              <w:jc w:val="center"/>
              <w:rPr>
                <w:rFonts w:hint="eastAsia" w:ascii="微软雅黑" w:hAnsi="微软雅黑" w:eastAsia="微软雅黑" w:cs="微软雅黑"/>
                <w:i/>
                <w:iCs/>
                <w:color w:val="000000"/>
                <w:sz w:val="16"/>
                <w:szCs w:val="16"/>
                <w:u w:val="none"/>
              </w:rPr>
            </w:pPr>
          </w:p>
        </w:tc>
      </w:tr>
      <w:tr w14:paraId="06ECD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5962DC">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E69276">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8DE5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5CC2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聘用时间</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05FD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065A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长期</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26940A">
            <w:pPr>
              <w:snapToGrid w:val="0"/>
              <w:jc w:val="center"/>
              <w:rPr>
                <w:rFonts w:hint="eastAsia" w:ascii="宋体" w:hAnsi="宋体" w:eastAsia="宋体" w:cs="宋体"/>
                <w:i w:val="0"/>
                <w:iCs w:val="0"/>
                <w:color w:val="000000"/>
                <w:sz w:val="18"/>
                <w:szCs w:val="18"/>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5D80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EE1E5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0DA16">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CC27A">
            <w:pPr>
              <w:snapToGrid w:val="0"/>
              <w:jc w:val="center"/>
              <w:rPr>
                <w:rFonts w:hint="eastAsia" w:ascii="微软雅黑" w:hAnsi="微软雅黑" w:eastAsia="微软雅黑" w:cs="微软雅黑"/>
                <w:i/>
                <w:iCs/>
                <w:color w:val="000000"/>
                <w:sz w:val="16"/>
                <w:szCs w:val="16"/>
                <w:u w:val="none"/>
              </w:rPr>
            </w:pPr>
          </w:p>
        </w:tc>
      </w:tr>
      <w:tr w14:paraId="6A7B5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DEDE2F">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52828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AF5A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36E4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减少师生的就医困难</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6C09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9CE4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长期</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3515C8">
            <w:pPr>
              <w:snapToGrid w:val="0"/>
              <w:jc w:val="center"/>
              <w:rPr>
                <w:rFonts w:hint="eastAsia" w:ascii="宋体" w:hAnsi="宋体" w:eastAsia="宋体" w:cs="宋体"/>
                <w:i w:val="0"/>
                <w:iCs w:val="0"/>
                <w:color w:val="000000"/>
                <w:sz w:val="18"/>
                <w:szCs w:val="18"/>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29A2A">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D372F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1614C">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6F92D">
            <w:pPr>
              <w:snapToGrid w:val="0"/>
              <w:jc w:val="center"/>
              <w:rPr>
                <w:rFonts w:hint="eastAsia" w:ascii="微软雅黑" w:hAnsi="微软雅黑" w:eastAsia="微软雅黑" w:cs="微软雅黑"/>
                <w:i/>
                <w:iCs/>
                <w:color w:val="000000"/>
                <w:sz w:val="16"/>
                <w:szCs w:val="16"/>
                <w:u w:val="none"/>
              </w:rPr>
            </w:pPr>
          </w:p>
        </w:tc>
      </w:tr>
      <w:tr w14:paraId="032D9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7A1F71">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CF7387">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C4625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可持续影响指标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E168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方便师生员工就医</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B023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C1116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83</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CCC1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9211C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A2F9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122BA">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28312">
            <w:pPr>
              <w:snapToGrid w:val="0"/>
              <w:jc w:val="center"/>
              <w:rPr>
                <w:rFonts w:hint="eastAsia" w:ascii="微软雅黑" w:hAnsi="微软雅黑" w:eastAsia="微软雅黑" w:cs="微软雅黑"/>
                <w:i/>
                <w:iCs/>
                <w:color w:val="000000"/>
                <w:sz w:val="16"/>
                <w:szCs w:val="16"/>
                <w:u w:val="none"/>
              </w:rPr>
            </w:pPr>
          </w:p>
        </w:tc>
      </w:tr>
      <w:tr w14:paraId="5A519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92CFAC">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332A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A849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1D3C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师生满意度</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2C1F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1CE7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86</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14E0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32A996">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60EF4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8B859">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7339B">
            <w:pPr>
              <w:snapToGrid w:val="0"/>
              <w:jc w:val="center"/>
              <w:rPr>
                <w:rFonts w:hint="eastAsia" w:ascii="微软雅黑" w:hAnsi="微软雅黑" w:eastAsia="微软雅黑" w:cs="微软雅黑"/>
                <w:i/>
                <w:iCs/>
                <w:color w:val="000000"/>
                <w:sz w:val="16"/>
                <w:szCs w:val="16"/>
                <w:u w:val="none"/>
              </w:rPr>
            </w:pPr>
          </w:p>
        </w:tc>
      </w:tr>
      <w:tr w14:paraId="738FA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5FE2E1">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994F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成本指标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62F35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经济成本指标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8BCC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医务人员的经费保障</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E691C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F677C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160000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97C6A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元/年</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CBFC51">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489B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188F1">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127428">
            <w:pPr>
              <w:snapToGrid w:val="0"/>
              <w:jc w:val="center"/>
              <w:rPr>
                <w:rFonts w:hint="eastAsia" w:ascii="微软雅黑" w:hAnsi="微软雅黑" w:eastAsia="微软雅黑" w:cs="微软雅黑"/>
                <w:i/>
                <w:iCs/>
                <w:color w:val="000000"/>
                <w:sz w:val="16"/>
                <w:szCs w:val="16"/>
                <w:u w:val="none"/>
              </w:rPr>
            </w:pPr>
          </w:p>
        </w:tc>
      </w:tr>
      <w:tr w14:paraId="0AFEF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72A0DE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B5B3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72BE9">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C92E0">
            <w:pPr>
              <w:snapToGrid w:val="0"/>
              <w:rPr>
                <w:rFonts w:hint="eastAsia" w:ascii="宋体" w:hAnsi="宋体" w:eastAsia="宋体" w:cs="宋体"/>
                <w:i w:val="0"/>
                <w:iCs w:val="0"/>
                <w:color w:val="000000"/>
                <w:sz w:val="18"/>
                <w:szCs w:val="18"/>
                <w:u w:val="none"/>
              </w:rPr>
            </w:pPr>
          </w:p>
        </w:tc>
      </w:tr>
      <w:tr w14:paraId="2480E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C9E48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E6AFA0D">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保障学校两位校医的生活开支。</w:t>
            </w:r>
          </w:p>
        </w:tc>
      </w:tr>
      <w:tr w14:paraId="37FD2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E480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E484FD8">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218C9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DCD9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7E06D27">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69D08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2F08CA1">
            <w:pPr>
              <w:keepNext w:val="0"/>
              <w:keepLines w:val="0"/>
              <w:widowControl/>
              <w:suppressLineNumbers w:val="0"/>
              <w:snapToGrid w:val="0"/>
              <w:jc w:val="left"/>
              <w:textAlignment w:val="center"/>
              <w:rPr>
                <w:rFonts w:hint="default" w:ascii="黑体" w:hAnsi="黑体" w:eastAsia="黑体" w:cs="黑体"/>
                <w:i w:val="0"/>
                <w:iCs w:val="0"/>
                <w:color w:val="000000"/>
                <w:sz w:val="18"/>
                <w:szCs w:val="18"/>
                <w:u w:val="none"/>
                <w:lang w:val="en-US"/>
              </w:rPr>
            </w:pPr>
            <w:r>
              <w:rPr>
                <w:rFonts w:hint="eastAsia" w:ascii="黑体" w:hAnsi="黑体" w:eastAsia="黑体" w:cs="黑体"/>
                <w:i w:val="0"/>
                <w:iCs w:val="0"/>
                <w:color w:val="000000"/>
                <w:kern w:val="0"/>
                <w:sz w:val="18"/>
                <w:szCs w:val="18"/>
                <w:u w:val="none"/>
                <w:lang w:val="en-US" w:eastAsia="zh-CN" w:bidi="ar"/>
              </w:rPr>
              <w:t>项目负责人：朱艳</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1BB63EE">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10B54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477F1A6B">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1E901DC1">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7275BA05">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56EC942A">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4B59C039">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06C8D814">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0EEA53C1">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48894094">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686F700A">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37A1EC25">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63E1F3CA">
            <w:pPr>
              <w:snapToGrid w:val="0"/>
              <w:rPr>
                <w:rFonts w:hint="eastAsia" w:ascii="宋体" w:hAnsi="宋体" w:eastAsia="宋体" w:cs="宋体"/>
                <w:i w:val="0"/>
                <w:iCs w:val="0"/>
                <w:color w:val="000000"/>
                <w:sz w:val="18"/>
                <w:szCs w:val="18"/>
                <w:u w:val="none"/>
              </w:rPr>
            </w:pPr>
          </w:p>
        </w:tc>
      </w:tr>
      <w:tr w14:paraId="6FBD8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156639AB">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1320F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98945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66F6BD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51340023Y000007836682-基层农技人员提升及高素质农民培育等专项（FS）</w:t>
            </w:r>
          </w:p>
        </w:tc>
      </w:tr>
      <w:tr w14:paraId="5AF97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1BE44E">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10B0EBF">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6566D332">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A0F70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496DF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8AFB5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7464C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2DFCA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14F9748">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65F81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892587">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E3115D">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63FD2BB">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完成2024年省州农业农村局等部门下达的各项培训任务，提升了凉山州基层农技人员和高素质农民的专业技能与知识水平，推动农业现代化进程。</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A7548FF">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培训工作按计划有序高效高质量推进。培训项目共19项，培训期数共42期，参训人数约5000人。</w:t>
            </w:r>
          </w:p>
        </w:tc>
      </w:tr>
      <w:tr w14:paraId="007D9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7FDB45">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B77CA">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D557448">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完成省州农业农村局等部门下达的各项培训任务，提升基层农、林人员基础知识和技能。</w:t>
            </w:r>
          </w:p>
        </w:tc>
      </w:tr>
      <w:tr w14:paraId="37D7F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A2DC5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17EC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B2C3D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CEA16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28A55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84D5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B9C1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E23CC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1E5B2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67E3F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A7A0C6">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4A791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567C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375.00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37DF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375.00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3F544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375.00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8778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685E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9DD6D">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64BE48">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1.预算执行率=预算执行数/调整后预算数，预算执行率未达到90%的需说明原因（100字以内）;2.年中发生预算调整的（追加或调减）,应单独说明理由；3.其他资金包括：社会投入资金、银行贷款.</w:t>
            </w:r>
          </w:p>
        </w:tc>
      </w:tr>
      <w:tr w14:paraId="0E387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4D00B9">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77CC5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4AC7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EE3DA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AE231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16F8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0D54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87BA3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A82BE3">
            <w:pPr>
              <w:snapToGrid w:val="0"/>
              <w:rPr>
                <w:rFonts w:hint="eastAsia" w:ascii="黑体" w:hAnsi="黑体" w:eastAsia="黑体" w:cs="黑体"/>
                <w:i/>
                <w:iCs/>
                <w:color w:val="000000"/>
                <w:sz w:val="18"/>
                <w:szCs w:val="18"/>
                <w:u w:val="none"/>
              </w:rPr>
            </w:pPr>
          </w:p>
        </w:tc>
      </w:tr>
      <w:tr w14:paraId="56EB4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F0636F">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9567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3E6B7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E90A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268E6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C936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EB9F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3B4E2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CC075C">
            <w:pPr>
              <w:snapToGrid w:val="0"/>
              <w:rPr>
                <w:rFonts w:hint="eastAsia" w:ascii="黑体" w:hAnsi="黑体" w:eastAsia="黑体" w:cs="黑体"/>
                <w:i/>
                <w:iCs/>
                <w:color w:val="000000"/>
                <w:sz w:val="18"/>
                <w:szCs w:val="18"/>
                <w:u w:val="none"/>
              </w:rPr>
            </w:pPr>
          </w:p>
        </w:tc>
      </w:tr>
      <w:tr w14:paraId="4F249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126A02">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7D2C7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83B6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375.00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2C7D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375.00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7739B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375.00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A764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BFF2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A665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32CD41">
            <w:pPr>
              <w:snapToGrid w:val="0"/>
              <w:rPr>
                <w:rFonts w:hint="eastAsia" w:ascii="黑体" w:hAnsi="黑体" w:eastAsia="黑体" w:cs="黑体"/>
                <w:i/>
                <w:iCs/>
                <w:color w:val="000000"/>
                <w:sz w:val="18"/>
                <w:szCs w:val="18"/>
                <w:u w:val="none"/>
              </w:rPr>
            </w:pPr>
          </w:p>
        </w:tc>
      </w:tr>
      <w:tr w14:paraId="7D04F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612F12">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7820C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A8038">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3FD10">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2BEB19">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61F19">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8DE5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D3B4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394D85">
            <w:pPr>
              <w:snapToGrid w:val="0"/>
              <w:rPr>
                <w:rFonts w:hint="eastAsia" w:ascii="黑体" w:hAnsi="黑体" w:eastAsia="黑体" w:cs="黑体"/>
                <w:i/>
                <w:iCs/>
                <w:color w:val="000000"/>
                <w:sz w:val="18"/>
                <w:szCs w:val="18"/>
                <w:u w:val="none"/>
              </w:rPr>
            </w:pPr>
          </w:p>
        </w:tc>
      </w:tr>
      <w:tr w14:paraId="39EEB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5620E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21396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55A7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5B75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14FE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9EC6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E7BD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738F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7FC1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EC06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C546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49AF7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A2AB88">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C8557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36308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4463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培训人次</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1EF6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68FE1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1450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44ED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人</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7CE1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0970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525F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41D92">
            <w:pPr>
              <w:snapToGrid w:val="0"/>
              <w:jc w:val="center"/>
              <w:rPr>
                <w:rFonts w:hint="eastAsia" w:ascii="微软雅黑" w:hAnsi="微软雅黑" w:eastAsia="微软雅黑" w:cs="微软雅黑"/>
                <w:i/>
                <w:iCs/>
                <w:color w:val="000000"/>
                <w:sz w:val="16"/>
                <w:szCs w:val="16"/>
                <w:u w:val="none"/>
              </w:rPr>
            </w:pPr>
          </w:p>
        </w:tc>
      </w:tr>
      <w:tr w14:paraId="31867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03333">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65F00">
            <w:pPr>
              <w:snapToGrid w:val="0"/>
              <w:jc w:val="center"/>
              <w:rPr>
                <w:rFonts w:hint="eastAsia" w:ascii="宋体" w:hAnsi="宋体" w:eastAsia="宋体" w:cs="宋体"/>
                <w:i w:val="0"/>
                <w:iCs w:val="0"/>
                <w:color w:val="000000"/>
                <w:sz w:val="18"/>
                <w:szCs w:val="18"/>
                <w:u w:val="none"/>
              </w:rPr>
            </w:pPr>
          </w:p>
        </w:tc>
        <w:tc>
          <w:tcPr>
            <w:tcW w:w="4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096EE8">
            <w:pPr>
              <w:snapToGrid w:val="0"/>
              <w:jc w:val="center"/>
              <w:rPr>
                <w:rFonts w:hint="eastAsia" w:ascii="宋体" w:hAnsi="宋体" w:eastAsia="宋体" w:cs="宋体"/>
                <w:i w:val="0"/>
                <w:iCs w:val="0"/>
                <w:color w:val="000000"/>
                <w:sz w:val="18"/>
                <w:szCs w:val="18"/>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B27B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培训期数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86AE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09B3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CD35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期</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1CF0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42</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BD76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ACBC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E0757">
            <w:pPr>
              <w:snapToGrid w:val="0"/>
              <w:jc w:val="center"/>
              <w:rPr>
                <w:rFonts w:hint="eastAsia" w:ascii="微软雅黑" w:hAnsi="微软雅黑" w:eastAsia="微软雅黑" w:cs="微软雅黑"/>
                <w:i/>
                <w:iCs/>
                <w:color w:val="000000"/>
                <w:sz w:val="16"/>
                <w:szCs w:val="16"/>
                <w:u w:val="none"/>
              </w:rPr>
            </w:pPr>
          </w:p>
        </w:tc>
      </w:tr>
      <w:tr w14:paraId="6690E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716C6A">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93F42A">
            <w:pPr>
              <w:snapToGrid w:val="0"/>
              <w:jc w:val="center"/>
              <w:rPr>
                <w:rFonts w:hint="eastAsia" w:ascii="宋体" w:hAnsi="宋体" w:eastAsia="宋体" w:cs="宋体"/>
                <w:i w:val="0"/>
                <w:iCs w:val="0"/>
                <w:color w:val="000000"/>
                <w:sz w:val="18"/>
                <w:szCs w:val="18"/>
                <w:u w:val="none"/>
              </w:rPr>
            </w:pPr>
          </w:p>
        </w:tc>
        <w:tc>
          <w:tcPr>
            <w:tcW w:w="4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317728">
            <w:pPr>
              <w:snapToGrid w:val="0"/>
              <w:jc w:val="center"/>
              <w:rPr>
                <w:rFonts w:hint="eastAsia" w:ascii="宋体" w:hAnsi="宋体" w:eastAsia="宋体" w:cs="宋体"/>
                <w:i w:val="0"/>
                <w:iCs w:val="0"/>
                <w:color w:val="000000"/>
                <w:sz w:val="18"/>
                <w:szCs w:val="18"/>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7F99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每期培训天数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77A2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0D23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7</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7F18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天</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5C13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995B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E58F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7FD79">
            <w:pPr>
              <w:snapToGrid w:val="0"/>
              <w:jc w:val="center"/>
              <w:rPr>
                <w:rFonts w:hint="eastAsia" w:ascii="微软雅黑" w:hAnsi="微软雅黑" w:eastAsia="微软雅黑" w:cs="微软雅黑"/>
                <w:i/>
                <w:iCs/>
                <w:color w:val="000000"/>
                <w:sz w:val="16"/>
                <w:szCs w:val="16"/>
                <w:u w:val="none"/>
              </w:rPr>
            </w:pPr>
          </w:p>
        </w:tc>
      </w:tr>
      <w:tr w14:paraId="2EA44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6C810E">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F03093">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3A2C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ADF9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学员出勤率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FCFC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697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0A09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730C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97</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D161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61A25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593F6">
            <w:pPr>
              <w:snapToGrid w:val="0"/>
              <w:jc w:val="center"/>
              <w:rPr>
                <w:rFonts w:hint="eastAsia" w:ascii="微软雅黑" w:hAnsi="微软雅黑" w:eastAsia="微软雅黑" w:cs="微软雅黑"/>
                <w:i/>
                <w:iCs/>
                <w:color w:val="000000"/>
                <w:sz w:val="16"/>
                <w:szCs w:val="16"/>
                <w:u w:val="none"/>
              </w:rPr>
            </w:pPr>
          </w:p>
        </w:tc>
      </w:tr>
      <w:tr w14:paraId="7351C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17E92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9A57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4310E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ED1EA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提升培训人员业务知识率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188A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8602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99E7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52F0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91</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70D1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21309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C9051">
            <w:pPr>
              <w:snapToGrid w:val="0"/>
              <w:jc w:val="center"/>
              <w:rPr>
                <w:rFonts w:hint="eastAsia" w:ascii="微软雅黑" w:hAnsi="微软雅黑" w:eastAsia="微软雅黑" w:cs="微软雅黑"/>
                <w:i/>
                <w:iCs/>
                <w:color w:val="000000"/>
                <w:sz w:val="16"/>
                <w:szCs w:val="16"/>
                <w:u w:val="none"/>
              </w:rPr>
            </w:pPr>
          </w:p>
        </w:tc>
      </w:tr>
      <w:tr w14:paraId="0ADA6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A4ACEA">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B9BC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9DAB0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EA67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培训学员满意度</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213B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E95C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78BE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2289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98</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7A79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D766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A4C8D">
            <w:pPr>
              <w:snapToGrid w:val="0"/>
              <w:jc w:val="center"/>
              <w:rPr>
                <w:rFonts w:hint="eastAsia" w:ascii="微软雅黑" w:hAnsi="微软雅黑" w:eastAsia="微软雅黑" w:cs="微软雅黑"/>
                <w:i/>
                <w:iCs/>
                <w:color w:val="000000"/>
                <w:sz w:val="16"/>
                <w:szCs w:val="16"/>
                <w:u w:val="none"/>
              </w:rPr>
            </w:pPr>
          </w:p>
        </w:tc>
      </w:tr>
      <w:tr w14:paraId="0D65A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13A826">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DABE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成本指标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E1CF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经济成本指标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E4D2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学员人均培训成本</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253F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8CA7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50C8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元</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F8BBF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1090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58E8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9B59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FB508">
            <w:pPr>
              <w:snapToGrid w:val="0"/>
              <w:jc w:val="center"/>
              <w:rPr>
                <w:rFonts w:hint="eastAsia" w:ascii="微软雅黑" w:hAnsi="微软雅黑" w:eastAsia="微软雅黑" w:cs="微软雅黑"/>
                <w:i/>
                <w:iCs/>
                <w:color w:val="000000"/>
                <w:sz w:val="16"/>
                <w:szCs w:val="16"/>
                <w:u w:val="none"/>
              </w:rPr>
            </w:pPr>
          </w:p>
        </w:tc>
      </w:tr>
      <w:tr w14:paraId="5693F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272A96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30F2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69792">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88</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E9B993">
            <w:pPr>
              <w:snapToGrid w:val="0"/>
              <w:rPr>
                <w:rFonts w:hint="eastAsia" w:ascii="宋体" w:hAnsi="宋体" w:eastAsia="宋体" w:cs="宋体"/>
                <w:i w:val="0"/>
                <w:iCs w:val="0"/>
                <w:color w:val="000000"/>
                <w:sz w:val="18"/>
                <w:szCs w:val="18"/>
                <w:u w:val="none"/>
              </w:rPr>
            </w:pPr>
          </w:p>
        </w:tc>
      </w:tr>
      <w:tr w14:paraId="23ACC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84EE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C3F1976">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专项预算项目绩效自评总体结论为优秀，项目实施效果显著，达到了预期目标。</w:t>
            </w:r>
          </w:p>
        </w:tc>
      </w:tr>
      <w:tr w14:paraId="2E0F4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F95CF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185C6ED">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部分培训内容与当地农业发展实际需求不够紧密，部分项目需进一步调整优化。</w:t>
            </w:r>
          </w:p>
        </w:tc>
      </w:tr>
      <w:tr w14:paraId="7C0F4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B87AD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AC350E5">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针对部分培训内容与当地农业发展实际需求不够紧密的问题，需进一步加强与地方政府、农业企业等沟通协作，根据实际需求调整优化部分培训项目。</w:t>
            </w:r>
          </w:p>
        </w:tc>
      </w:tr>
      <w:tr w14:paraId="4B864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852BF3">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项目负责人：鲁廷财</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EC1A166">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64F10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0A5B0636">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2C0541FC">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3BC2828A">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2C2F14F4">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6901A8F0">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3CB2F0AD">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1744F334">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3767E8A0">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03086AE0">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3FC52689">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1E50889D">
            <w:pPr>
              <w:snapToGrid w:val="0"/>
              <w:rPr>
                <w:rFonts w:hint="eastAsia" w:ascii="宋体" w:hAnsi="宋体" w:eastAsia="宋体" w:cs="宋体"/>
                <w:i w:val="0"/>
                <w:iCs w:val="0"/>
                <w:color w:val="000000"/>
                <w:sz w:val="18"/>
                <w:szCs w:val="18"/>
                <w:u w:val="none"/>
              </w:rPr>
            </w:pPr>
          </w:p>
        </w:tc>
      </w:tr>
      <w:tr w14:paraId="2F67A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4CB88994">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0DA4D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7A9208">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5F7F0D9">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51340023Y000007836699-学生资助资金（FS）</w:t>
            </w:r>
          </w:p>
        </w:tc>
      </w:tr>
      <w:tr w14:paraId="49E42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B9F5F8">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06FB86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393E4144">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A0F4D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19BFB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A9FE1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69869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6038B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D2B0774">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2C8A8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2A404A">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75F60">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94B1BC">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提取事业收入的5%作为助学金，用于贫困学生补助，通过资助工作的开展，改善学生在校生活条件。</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32519C">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通过资助工作的开展，改善学生在校生活条件。</w:t>
            </w:r>
          </w:p>
        </w:tc>
      </w:tr>
      <w:tr w14:paraId="654A3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C9A2EA">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7100A">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5162A03">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2024年5月发放至学生卡上。</w:t>
            </w:r>
          </w:p>
        </w:tc>
      </w:tr>
      <w:tr w14:paraId="24B1F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E886A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72D81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97D7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EB64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111D9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0D05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6FD2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842A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17B5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44786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D719BF">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16D3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A33C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36A0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5.78</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D98C7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5.78</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6D3F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1B66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58F14">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B186B2">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资助资金发放5.78万元。</w:t>
            </w:r>
          </w:p>
        </w:tc>
      </w:tr>
      <w:tr w14:paraId="177C0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BA593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446F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25AC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D6B8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07A82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E3109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84C1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5223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2C7863">
            <w:pPr>
              <w:snapToGrid w:val="0"/>
              <w:rPr>
                <w:rFonts w:hint="eastAsia" w:ascii="黑体" w:hAnsi="黑体" w:eastAsia="黑体" w:cs="黑体"/>
                <w:i/>
                <w:iCs/>
                <w:color w:val="000000"/>
                <w:sz w:val="18"/>
                <w:szCs w:val="18"/>
                <w:u w:val="none"/>
              </w:rPr>
            </w:pPr>
          </w:p>
        </w:tc>
      </w:tr>
      <w:tr w14:paraId="348EC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97DF89">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DF28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6E9FE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FF7B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5.78</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960D6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5.78</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C04F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8F8A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7757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8A65D1">
            <w:pPr>
              <w:snapToGrid w:val="0"/>
              <w:rPr>
                <w:rFonts w:hint="eastAsia" w:ascii="黑体" w:hAnsi="黑体" w:eastAsia="黑体" w:cs="黑体"/>
                <w:i/>
                <w:iCs/>
                <w:color w:val="000000"/>
                <w:sz w:val="18"/>
                <w:szCs w:val="18"/>
                <w:u w:val="none"/>
              </w:rPr>
            </w:pPr>
          </w:p>
        </w:tc>
      </w:tr>
      <w:tr w14:paraId="46DAC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1FA33B">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BAC2E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BE7A6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8043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7D078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865A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97E8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B8D5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DD1AC0">
            <w:pPr>
              <w:snapToGrid w:val="0"/>
              <w:rPr>
                <w:rFonts w:hint="eastAsia" w:ascii="黑体" w:hAnsi="黑体" w:eastAsia="黑体" w:cs="黑体"/>
                <w:i/>
                <w:iCs/>
                <w:color w:val="000000"/>
                <w:sz w:val="18"/>
                <w:szCs w:val="18"/>
                <w:u w:val="none"/>
              </w:rPr>
            </w:pPr>
          </w:p>
        </w:tc>
      </w:tr>
      <w:tr w14:paraId="04314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B9B221">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F235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FA53A">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6EFD4D">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16007D">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E997D">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3ACC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C612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D9D7FC">
            <w:pPr>
              <w:snapToGrid w:val="0"/>
              <w:rPr>
                <w:rFonts w:hint="eastAsia" w:ascii="黑体" w:hAnsi="黑体" w:eastAsia="黑体" w:cs="黑体"/>
                <w:i/>
                <w:iCs/>
                <w:color w:val="000000"/>
                <w:sz w:val="18"/>
                <w:szCs w:val="18"/>
                <w:u w:val="none"/>
              </w:rPr>
            </w:pPr>
          </w:p>
        </w:tc>
      </w:tr>
      <w:tr w14:paraId="629D0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35149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768C1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2C14D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0533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D85FC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B486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CA47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8E75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5F9F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60E54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D077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3361D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697A97">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DEFBC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382C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2DCF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受助学生人数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FD21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758D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94CD6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06B42">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58A8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CBEAB">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878C0A">
            <w:pPr>
              <w:snapToGrid w:val="0"/>
              <w:jc w:val="center"/>
              <w:rPr>
                <w:rFonts w:hint="eastAsia" w:ascii="微软雅黑" w:hAnsi="微软雅黑" w:eastAsia="微软雅黑" w:cs="微软雅黑"/>
                <w:i/>
                <w:iCs/>
                <w:color w:val="000000"/>
                <w:sz w:val="16"/>
                <w:szCs w:val="16"/>
                <w:u w:val="none"/>
              </w:rPr>
            </w:pPr>
          </w:p>
        </w:tc>
      </w:tr>
      <w:tr w14:paraId="5246F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E427BD">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97E136">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247E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4107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补助资金到位率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B644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5CE61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B156C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F982E">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EF03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2E636">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98D2C">
            <w:pPr>
              <w:snapToGrid w:val="0"/>
              <w:jc w:val="center"/>
              <w:rPr>
                <w:rFonts w:hint="eastAsia" w:ascii="微软雅黑" w:hAnsi="微软雅黑" w:eastAsia="微软雅黑" w:cs="微软雅黑"/>
                <w:i/>
                <w:iCs/>
                <w:color w:val="000000"/>
                <w:sz w:val="16"/>
                <w:szCs w:val="16"/>
                <w:u w:val="none"/>
              </w:rPr>
            </w:pPr>
          </w:p>
        </w:tc>
      </w:tr>
      <w:tr w14:paraId="1B487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D66C6D">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B5BBD">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F80B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E735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补助资金发放及时率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77EB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54882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92</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6DFEC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AC772">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F3A9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80252">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6A315D">
            <w:pPr>
              <w:snapToGrid w:val="0"/>
              <w:jc w:val="center"/>
              <w:rPr>
                <w:rFonts w:hint="eastAsia" w:ascii="微软雅黑" w:hAnsi="微软雅黑" w:eastAsia="微软雅黑" w:cs="微软雅黑"/>
                <w:i/>
                <w:iCs/>
                <w:color w:val="000000"/>
                <w:sz w:val="16"/>
                <w:szCs w:val="16"/>
                <w:u w:val="none"/>
              </w:rPr>
            </w:pPr>
          </w:p>
        </w:tc>
      </w:tr>
      <w:tr w14:paraId="05574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2DFF7B">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F729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BB73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5E750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提升贫困学生上学率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BAE5B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787E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063BB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D7AAA">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DC3E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790955">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30EAD">
            <w:pPr>
              <w:snapToGrid w:val="0"/>
              <w:jc w:val="center"/>
              <w:rPr>
                <w:rFonts w:hint="eastAsia" w:ascii="微软雅黑" w:hAnsi="微软雅黑" w:eastAsia="微软雅黑" w:cs="微软雅黑"/>
                <w:i/>
                <w:iCs/>
                <w:color w:val="000000"/>
                <w:sz w:val="16"/>
                <w:szCs w:val="16"/>
                <w:u w:val="none"/>
              </w:rPr>
            </w:pPr>
          </w:p>
        </w:tc>
      </w:tr>
      <w:tr w14:paraId="5172F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8556C">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A12D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E61A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93ED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受助学生满意度</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8F7B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C0CBA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91</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930C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2E3B8">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5EA6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1DE61">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57D1D">
            <w:pPr>
              <w:snapToGrid w:val="0"/>
              <w:jc w:val="center"/>
              <w:rPr>
                <w:rFonts w:hint="eastAsia" w:ascii="微软雅黑" w:hAnsi="微软雅黑" w:eastAsia="微软雅黑" w:cs="微软雅黑"/>
                <w:i/>
                <w:iCs/>
                <w:color w:val="000000"/>
                <w:sz w:val="16"/>
                <w:szCs w:val="16"/>
                <w:u w:val="none"/>
              </w:rPr>
            </w:pPr>
          </w:p>
        </w:tc>
      </w:tr>
      <w:tr w14:paraId="59526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EDC875">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26C0A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成本指标</w:t>
            </w:r>
          </w:p>
        </w:tc>
        <w:tc>
          <w:tcPr>
            <w:tcW w:w="4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F692E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经济成本指标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18E8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每年补助资金标准（三等）</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BE95F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C0071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160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AA92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元</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D911C">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F6A0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37892">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7A686">
            <w:pPr>
              <w:snapToGrid w:val="0"/>
              <w:jc w:val="center"/>
              <w:rPr>
                <w:rFonts w:hint="eastAsia" w:ascii="微软雅黑" w:hAnsi="微软雅黑" w:eastAsia="微软雅黑" w:cs="微软雅黑"/>
                <w:i/>
                <w:iCs/>
                <w:color w:val="000000"/>
                <w:sz w:val="16"/>
                <w:szCs w:val="16"/>
                <w:u w:val="none"/>
              </w:rPr>
            </w:pPr>
          </w:p>
        </w:tc>
      </w:tr>
      <w:tr w14:paraId="5E1B3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35E093">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3F106E">
            <w:pPr>
              <w:snapToGrid w:val="0"/>
              <w:jc w:val="center"/>
              <w:rPr>
                <w:rFonts w:hint="eastAsia" w:ascii="宋体" w:hAnsi="宋体" w:eastAsia="宋体" w:cs="宋体"/>
                <w:i w:val="0"/>
                <w:iCs w:val="0"/>
                <w:color w:val="000000"/>
                <w:sz w:val="18"/>
                <w:szCs w:val="18"/>
                <w:u w:val="none"/>
              </w:rPr>
            </w:pPr>
          </w:p>
        </w:tc>
        <w:tc>
          <w:tcPr>
            <w:tcW w:w="4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A16EAD">
            <w:pPr>
              <w:snapToGrid w:val="0"/>
              <w:jc w:val="center"/>
              <w:rPr>
                <w:rFonts w:hint="eastAsia" w:ascii="宋体" w:hAnsi="宋体" w:eastAsia="宋体" w:cs="宋体"/>
                <w:i w:val="0"/>
                <w:iCs w:val="0"/>
                <w:color w:val="000000"/>
                <w:sz w:val="18"/>
                <w:szCs w:val="18"/>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A368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每年补助资金标准（一等）</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84EB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5DFF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240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CEC6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元</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22F5F">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8B1A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B1B1B3">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B6405">
            <w:pPr>
              <w:snapToGrid w:val="0"/>
              <w:jc w:val="center"/>
              <w:rPr>
                <w:rFonts w:hint="eastAsia" w:ascii="微软雅黑" w:hAnsi="微软雅黑" w:eastAsia="微软雅黑" w:cs="微软雅黑"/>
                <w:i/>
                <w:iCs/>
                <w:color w:val="000000"/>
                <w:sz w:val="16"/>
                <w:szCs w:val="16"/>
                <w:u w:val="none"/>
              </w:rPr>
            </w:pPr>
          </w:p>
        </w:tc>
      </w:tr>
      <w:tr w14:paraId="1F552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79F8B4">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B972BA">
            <w:pPr>
              <w:snapToGrid w:val="0"/>
              <w:jc w:val="center"/>
              <w:rPr>
                <w:rFonts w:hint="eastAsia" w:ascii="宋体" w:hAnsi="宋体" w:eastAsia="宋体" w:cs="宋体"/>
                <w:i w:val="0"/>
                <w:iCs w:val="0"/>
                <w:color w:val="000000"/>
                <w:sz w:val="18"/>
                <w:szCs w:val="18"/>
                <w:u w:val="none"/>
              </w:rPr>
            </w:pPr>
          </w:p>
        </w:tc>
        <w:tc>
          <w:tcPr>
            <w:tcW w:w="4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542080">
            <w:pPr>
              <w:snapToGrid w:val="0"/>
              <w:jc w:val="center"/>
              <w:rPr>
                <w:rFonts w:hint="eastAsia" w:ascii="宋体" w:hAnsi="宋体" w:eastAsia="宋体" w:cs="宋体"/>
                <w:i w:val="0"/>
                <w:iCs w:val="0"/>
                <w:color w:val="000000"/>
                <w:sz w:val="18"/>
                <w:szCs w:val="18"/>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7E4A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每年补助资金标准（二等）</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44635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E120E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55DC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元</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6BA1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96AD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3A769">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E8A60">
            <w:pPr>
              <w:snapToGrid w:val="0"/>
              <w:jc w:val="center"/>
              <w:rPr>
                <w:rFonts w:hint="eastAsia" w:ascii="微软雅黑" w:hAnsi="微软雅黑" w:eastAsia="微软雅黑" w:cs="微软雅黑"/>
                <w:i/>
                <w:iCs/>
                <w:color w:val="000000"/>
                <w:sz w:val="16"/>
                <w:szCs w:val="16"/>
                <w:u w:val="none"/>
              </w:rPr>
            </w:pPr>
          </w:p>
        </w:tc>
      </w:tr>
      <w:tr w14:paraId="330B8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57A5AB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B7162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14EC4">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3CBDE">
            <w:pPr>
              <w:snapToGrid w:val="0"/>
              <w:rPr>
                <w:rFonts w:hint="eastAsia" w:ascii="宋体" w:hAnsi="宋体" w:eastAsia="宋体" w:cs="宋体"/>
                <w:i w:val="0"/>
                <w:iCs w:val="0"/>
                <w:color w:val="000000"/>
                <w:sz w:val="18"/>
                <w:szCs w:val="18"/>
                <w:u w:val="none"/>
              </w:rPr>
            </w:pPr>
          </w:p>
        </w:tc>
      </w:tr>
      <w:tr w14:paraId="1E519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C061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239FEEB">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通过资助工作的开展，改善学生在校生活条件。</w:t>
            </w:r>
          </w:p>
        </w:tc>
      </w:tr>
      <w:tr w14:paraId="3086D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80539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FECD16B">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0DBC7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BC4C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327077C">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572F9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EF797C3">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项目负责人：毛桂荣</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CBF3FBB">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70A98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620CBD3D">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60F1B057">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165B8C0C">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7B227EB6">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7EA865DE">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5FB5FC69">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298D6213">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469137B7">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3023C7F8">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7C2AA5E9">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5416E881">
            <w:pPr>
              <w:snapToGrid w:val="0"/>
              <w:rPr>
                <w:rFonts w:hint="eastAsia" w:ascii="宋体" w:hAnsi="宋体" w:eastAsia="宋体" w:cs="宋体"/>
                <w:i w:val="0"/>
                <w:iCs w:val="0"/>
                <w:color w:val="000000"/>
                <w:sz w:val="18"/>
                <w:szCs w:val="18"/>
                <w:u w:val="none"/>
              </w:rPr>
            </w:pPr>
          </w:p>
        </w:tc>
      </w:tr>
      <w:tr w14:paraId="50122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3B9D81D">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78886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FFF569">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B9E09E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51340023Y000007836940-临聘人员及代课教师经费（FS）</w:t>
            </w:r>
          </w:p>
        </w:tc>
      </w:tr>
      <w:tr w14:paraId="3ED15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375D96">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92604A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601504B0">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4E410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33909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9428C9">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746F9F">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C3E47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2E59A2E">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74CBC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E0F39B">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74824C">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ADC4CE9">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临聘人员与代课教师待遇按时发放。</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93CAF01">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按时发放临聘人员与代课教师待遇和社保的缴纳。</w:t>
            </w:r>
          </w:p>
        </w:tc>
      </w:tr>
      <w:tr w14:paraId="3E709B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2943F7">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DE07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956B887">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2024年每月根据临工的工作量按时发放工资和缴纳社保，代课按课时发放课时费，以及临时用工的劳务费。</w:t>
            </w:r>
          </w:p>
        </w:tc>
      </w:tr>
      <w:tr w14:paraId="55002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C3E02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1C079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6A49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B185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65A86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3F79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FEF5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55D9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F30A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0A60B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678391">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19AD9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A7CE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162.70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B2309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187.13</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B90B5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187.13</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9470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E1B6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1E3CD1">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A91DDD">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发放临聘人员与代课教师费187.13万元。</w:t>
            </w:r>
          </w:p>
        </w:tc>
      </w:tr>
      <w:tr w14:paraId="76944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4967B6">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DB6F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3312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84.70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3193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127.77</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A2D3C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127.77</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D31FE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D36A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7208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692DBE">
            <w:pPr>
              <w:snapToGrid w:val="0"/>
              <w:rPr>
                <w:rFonts w:hint="eastAsia" w:ascii="黑体" w:hAnsi="黑体" w:eastAsia="黑体" w:cs="黑体"/>
                <w:i/>
                <w:iCs/>
                <w:color w:val="000000"/>
                <w:sz w:val="18"/>
                <w:szCs w:val="18"/>
                <w:u w:val="none"/>
              </w:rPr>
            </w:pPr>
          </w:p>
        </w:tc>
      </w:tr>
      <w:tr w14:paraId="05535B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EC785D">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53FB0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5794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78.00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3A9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59.36</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01515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59.36</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AB84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E79CB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D111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D084B9">
            <w:pPr>
              <w:snapToGrid w:val="0"/>
              <w:rPr>
                <w:rFonts w:hint="eastAsia" w:ascii="黑体" w:hAnsi="黑体" w:eastAsia="黑体" w:cs="黑体"/>
                <w:i/>
                <w:iCs/>
                <w:color w:val="000000"/>
                <w:sz w:val="18"/>
                <w:szCs w:val="18"/>
                <w:u w:val="none"/>
              </w:rPr>
            </w:pPr>
          </w:p>
        </w:tc>
      </w:tr>
      <w:tr w14:paraId="00E2D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CDBBC7">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3E97A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6AD8C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BD0A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40652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20387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3F36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B4FB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01038B">
            <w:pPr>
              <w:snapToGrid w:val="0"/>
              <w:rPr>
                <w:rFonts w:hint="eastAsia" w:ascii="黑体" w:hAnsi="黑体" w:eastAsia="黑体" w:cs="黑体"/>
                <w:i/>
                <w:iCs/>
                <w:color w:val="000000"/>
                <w:sz w:val="18"/>
                <w:szCs w:val="18"/>
                <w:u w:val="none"/>
              </w:rPr>
            </w:pPr>
          </w:p>
        </w:tc>
      </w:tr>
      <w:tr w14:paraId="2D2F3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E1E71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B421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60AF1">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B03B12">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5D3B27">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4A79C">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6E72F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033B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FD7EFA">
            <w:pPr>
              <w:snapToGrid w:val="0"/>
              <w:rPr>
                <w:rFonts w:hint="eastAsia" w:ascii="黑体" w:hAnsi="黑体" w:eastAsia="黑体" w:cs="黑体"/>
                <w:i/>
                <w:iCs/>
                <w:color w:val="000000"/>
                <w:sz w:val="18"/>
                <w:szCs w:val="18"/>
                <w:u w:val="none"/>
              </w:rPr>
            </w:pPr>
          </w:p>
        </w:tc>
      </w:tr>
      <w:tr w14:paraId="0E7BD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04F52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AD37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1C33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D970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E8401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F26F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A5B9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E6E2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3BE7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892F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DD19B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1130C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DD4753">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CF529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BBC4C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BE9A3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社保参保人数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1111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DB50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13</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52D57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人</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7479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2D65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5BD2B">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7DBEB">
            <w:pPr>
              <w:snapToGrid w:val="0"/>
              <w:jc w:val="center"/>
              <w:rPr>
                <w:rFonts w:hint="eastAsia" w:ascii="微软雅黑" w:hAnsi="微软雅黑" w:eastAsia="微软雅黑" w:cs="微软雅黑"/>
                <w:i/>
                <w:iCs/>
                <w:color w:val="000000"/>
                <w:sz w:val="16"/>
                <w:szCs w:val="16"/>
                <w:u w:val="none"/>
              </w:rPr>
            </w:pPr>
          </w:p>
        </w:tc>
      </w:tr>
      <w:tr w14:paraId="1AA7B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987F6E">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E462BE">
            <w:pPr>
              <w:snapToGrid w:val="0"/>
              <w:jc w:val="center"/>
              <w:rPr>
                <w:rFonts w:hint="eastAsia" w:ascii="宋体" w:hAnsi="宋体" w:eastAsia="宋体" w:cs="宋体"/>
                <w:i w:val="0"/>
                <w:iCs w:val="0"/>
                <w:color w:val="000000"/>
                <w:sz w:val="18"/>
                <w:szCs w:val="18"/>
                <w:u w:val="none"/>
              </w:rPr>
            </w:pPr>
          </w:p>
        </w:tc>
        <w:tc>
          <w:tcPr>
            <w:tcW w:w="4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07335D">
            <w:pPr>
              <w:snapToGrid w:val="0"/>
              <w:jc w:val="center"/>
              <w:rPr>
                <w:rFonts w:hint="eastAsia" w:ascii="宋体" w:hAnsi="宋体" w:eastAsia="宋体" w:cs="宋体"/>
                <w:i w:val="0"/>
                <w:iCs w:val="0"/>
                <w:color w:val="000000"/>
                <w:sz w:val="18"/>
                <w:szCs w:val="18"/>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EF36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发放月数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193C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D7E7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12</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2891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月</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8AF8D">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E44F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94FFF">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05016">
            <w:pPr>
              <w:snapToGrid w:val="0"/>
              <w:jc w:val="center"/>
              <w:rPr>
                <w:rFonts w:hint="eastAsia" w:ascii="微软雅黑" w:hAnsi="微软雅黑" w:eastAsia="微软雅黑" w:cs="微软雅黑"/>
                <w:i/>
                <w:iCs/>
                <w:color w:val="000000"/>
                <w:sz w:val="16"/>
                <w:szCs w:val="16"/>
                <w:u w:val="none"/>
              </w:rPr>
            </w:pPr>
          </w:p>
        </w:tc>
      </w:tr>
      <w:tr w14:paraId="37596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FDA21D">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11CE97">
            <w:pPr>
              <w:snapToGrid w:val="0"/>
              <w:jc w:val="center"/>
              <w:rPr>
                <w:rFonts w:hint="eastAsia" w:ascii="宋体" w:hAnsi="宋体" w:eastAsia="宋体" w:cs="宋体"/>
                <w:i w:val="0"/>
                <w:iCs w:val="0"/>
                <w:color w:val="000000"/>
                <w:sz w:val="18"/>
                <w:szCs w:val="18"/>
                <w:u w:val="none"/>
              </w:rPr>
            </w:pPr>
          </w:p>
        </w:tc>
        <w:tc>
          <w:tcPr>
            <w:tcW w:w="4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0C7EA6">
            <w:pPr>
              <w:snapToGrid w:val="0"/>
              <w:jc w:val="center"/>
              <w:rPr>
                <w:rFonts w:hint="eastAsia" w:ascii="宋体" w:hAnsi="宋体" w:eastAsia="宋体" w:cs="宋体"/>
                <w:i w:val="0"/>
                <w:iCs w:val="0"/>
                <w:color w:val="000000"/>
                <w:sz w:val="18"/>
                <w:szCs w:val="18"/>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6685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代理教师人数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E742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B6CD6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FAE1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人</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1A1015">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20D0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EF55C">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425D5">
            <w:pPr>
              <w:snapToGrid w:val="0"/>
              <w:jc w:val="center"/>
              <w:rPr>
                <w:rFonts w:hint="eastAsia" w:ascii="微软雅黑" w:hAnsi="微软雅黑" w:eastAsia="微软雅黑" w:cs="微软雅黑"/>
                <w:i/>
                <w:iCs/>
                <w:color w:val="000000"/>
                <w:sz w:val="16"/>
                <w:szCs w:val="16"/>
                <w:u w:val="none"/>
              </w:rPr>
            </w:pPr>
          </w:p>
        </w:tc>
      </w:tr>
      <w:tr w14:paraId="599BA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9231C8">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86CF94">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25E0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C8287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资金发放及时率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9D5D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50A1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DD86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03AAF9">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1242D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AAF51">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9B57E">
            <w:pPr>
              <w:snapToGrid w:val="0"/>
              <w:jc w:val="center"/>
              <w:rPr>
                <w:rFonts w:hint="eastAsia" w:ascii="微软雅黑" w:hAnsi="微软雅黑" w:eastAsia="微软雅黑" w:cs="微软雅黑"/>
                <w:i/>
                <w:iCs/>
                <w:color w:val="000000"/>
                <w:sz w:val="16"/>
                <w:szCs w:val="16"/>
                <w:u w:val="none"/>
              </w:rPr>
            </w:pPr>
          </w:p>
        </w:tc>
      </w:tr>
      <w:tr w14:paraId="4F2B4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3DA9E5">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87B6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0D55C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AA90A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保障临聘教师经济收入，提升社会发展效率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B7A81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5896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93</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3B15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3EF46">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0BAE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D3F00">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15682">
            <w:pPr>
              <w:snapToGrid w:val="0"/>
              <w:jc w:val="center"/>
              <w:rPr>
                <w:rFonts w:hint="eastAsia" w:ascii="微软雅黑" w:hAnsi="微软雅黑" w:eastAsia="微软雅黑" w:cs="微软雅黑"/>
                <w:i/>
                <w:iCs/>
                <w:color w:val="000000"/>
                <w:sz w:val="16"/>
                <w:szCs w:val="16"/>
                <w:u w:val="none"/>
              </w:rPr>
            </w:pPr>
          </w:p>
        </w:tc>
      </w:tr>
      <w:tr w14:paraId="524EF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53B713">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70E0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1241A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8B754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临聘人员与代课教师满意度</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E6A1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4F11D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FBDA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C440E6">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B898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8937B">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36F21">
            <w:pPr>
              <w:snapToGrid w:val="0"/>
              <w:jc w:val="center"/>
              <w:rPr>
                <w:rFonts w:hint="eastAsia" w:ascii="微软雅黑" w:hAnsi="微软雅黑" w:eastAsia="微软雅黑" w:cs="微软雅黑"/>
                <w:i/>
                <w:iCs/>
                <w:color w:val="000000"/>
                <w:sz w:val="16"/>
                <w:szCs w:val="16"/>
                <w:u w:val="none"/>
              </w:rPr>
            </w:pPr>
          </w:p>
        </w:tc>
      </w:tr>
      <w:tr w14:paraId="2672BF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797649">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9030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成本指标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22FE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经济成本指标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FCF3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保障工资发放成本</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4B1B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C10B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D434C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2D6A4">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5462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284D85">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56A308">
            <w:pPr>
              <w:snapToGrid w:val="0"/>
              <w:jc w:val="center"/>
              <w:rPr>
                <w:rFonts w:hint="eastAsia" w:ascii="微软雅黑" w:hAnsi="微软雅黑" w:eastAsia="微软雅黑" w:cs="微软雅黑"/>
                <w:i/>
                <w:iCs/>
                <w:color w:val="000000"/>
                <w:sz w:val="16"/>
                <w:szCs w:val="16"/>
                <w:u w:val="none"/>
              </w:rPr>
            </w:pPr>
          </w:p>
        </w:tc>
      </w:tr>
      <w:tr w14:paraId="6C5F2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6B2CF1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06E3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46248">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FC169">
            <w:pPr>
              <w:snapToGrid w:val="0"/>
              <w:rPr>
                <w:rFonts w:hint="eastAsia" w:ascii="宋体" w:hAnsi="宋体" w:eastAsia="宋体" w:cs="宋体"/>
                <w:i w:val="0"/>
                <w:iCs w:val="0"/>
                <w:color w:val="000000"/>
                <w:sz w:val="18"/>
                <w:szCs w:val="18"/>
                <w:u w:val="none"/>
              </w:rPr>
            </w:pPr>
          </w:p>
        </w:tc>
      </w:tr>
      <w:tr w14:paraId="49EC5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274E3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D0405B6">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通过项目实施减轻社会就业压力，提供岗位，学校的某些岗位工作量得到减轻，更好地为学生服务，保障后勤。</w:t>
            </w:r>
          </w:p>
        </w:tc>
      </w:tr>
      <w:tr w14:paraId="680E7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E7F34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C4BDFA5">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53C5A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2220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1E75832">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483D5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170E2E2">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项目负责人：余彪、毛桂荣</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67B5881">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4AB50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464" w:hRule="atLeast"/>
          <w:jc w:val="center"/>
        </w:trPr>
        <w:tc>
          <w:tcPr>
            <w:tcW w:w="328" w:type="pct"/>
            <w:tcBorders>
              <w:top w:val="nil"/>
              <w:left w:val="nil"/>
              <w:bottom w:val="nil"/>
              <w:right w:val="nil"/>
            </w:tcBorders>
            <w:shd w:val="clear" w:color="auto" w:fill="auto"/>
            <w:vAlign w:val="center"/>
          </w:tcPr>
          <w:p w14:paraId="038A48A8">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05466443">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2AEDC402">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528970AC">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5BB2328D">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6A32AD90">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6928C7F0">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7593EE74">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56B5E321">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00FE4C42">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7745E04C">
            <w:pPr>
              <w:snapToGrid w:val="0"/>
              <w:rPr>
                <w:rFonts w:hint="eastAsia" w:ascii="宋体" w:hAnsi="宋体" w:eastAsia="宋体" w:cs="宋体"/>
                <w:i w:val="0"/>
                <w:iCs w:val="0"/>
                <w:color w:val="000000"/>
                <w:sz w:val="18"/>
                <w:szCs w:val="18"/>
                <w:u w:val="none"/>
              </w:rPr>
            </w:pPr>
          </w:p>
        </w:tc>
      </w:tr>
      <w:tr w14:paraId="30020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78E3B99">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4914C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FF9D6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0480E0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51340023Y000008637462-高层次人才安家补助、租房补贴、岗位激励金</w:t>
            </w:r>
          </w:p>
        </w:tc>
      </w:tr>
      <w:tr w14:paraId="555C9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6F8B1B">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433C2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20285F04">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32425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5D456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F3A9D3">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B6F53C">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2DBD1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7A751B1">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271F8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043901">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442E2E">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5C57D0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高层次人才安家补助资金到位，按时发放给职工。</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E0D459">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2024年12月按时发放到位。</w:t>
            </w:r>
          </w:p>
        </w:tc>
      </w:tr>
      <w:tr w14:paraId="06FF7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FD7945">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4AB6E">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5C0AA9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2024年12月按时发放给徐明旭。</w:t>
            </w:r>
          </w:p>
        </w:tc>
      </w:tr>
      <w:tr w14:paraId="03F9C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743B5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A3047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7CAC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EA14B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90E6D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1BC0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AAA0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38AFE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05E5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6E22B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E1597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6531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0F10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BEEAB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0.72</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6D020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0.72</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E858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05EA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DE58C">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A8195F">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按相关文件要求追加高层次人才安家补助资金。</w:t>
            </w:r>
          </w:p>
        </w:tc>
      </w:tr>
      <w:tr w14:paraId="2950B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3CD31B">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7E3FF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3B07D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EF1D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0.72</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088B2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0.72</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F86F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8747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EC8A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1E7A49">
            <w:pPr>
              <w:snapToGrid w:val="0"/>
              <w:rPr>
                <w:rFonts w:hint="eastAsia" w:ascii="黑体" w:hAnsi="黑体" w:eastAsia="黑体" w:cs="黑体"/>
                <w:i/>
                <w:iCs/>
                <w:color w:val="000000"/>
                <w:sz w:val="18"/>
                <w:szCs w:val="18"/>
                <w:u w:val="none"/>
              </w:rPr>
            </w:pPr>
          </w:p>
        </w:tc>
      </w:tr>
      <w:tr w14:paraId="56941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81BF6D">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E9B8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C302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6031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7FF88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3731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536C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9F20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E985B1">
            <w:pPr>
              <w:snapToGrid w:val="0"/>
              <w:rPr>
                <w:rFonts w:hint="eastAsia" w:ascii="黑体" w:hAnsi="黑体" w:eastAsia="黑体" w:cs="黑体"/>
                <w:i/>
                <w:iCs/>
                <w:color w:val="000000"/>
                <w:sz w:val="18"/>
                <w:szCs w:val="18"/>
                <w:u w:val="none"/>
              </w:rPr>
            </w:pPr>
          </w:p>
        </w:tc>
      </w:tr>
      <w:tr w14:paraId="194B6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0B9FF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04C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7C2B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77331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55272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37D2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378F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7836F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B098B0">
            <w:pPr>
              <w:snapToGrid w:val="0"/>
              <w:rPr>
                <w:rFonts w:hint="eastAsia" w:ascii="黑体" w:hAnsi="黑体" w:eastAsia="黑体" w:cs="黑体"/>
                <w:i/>
                <w:iCs/>
                <w:color w:val="000000"/>
                <w:sz w:val="18"/>
                <w:szCs w:val="18"/>
                <w:u w:val="none"/>
              </w:rPr>
            </w:pPr>
          </w:p>
        </w:tc>
      </w:tr>
      <w:tr w14:paraId="5187F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F446B1">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1EF5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89567">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D0B36">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258D7B">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94DB6">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7D5C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A813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DE2104">
            <w:pPr>
              <w:snapToGrid w:val="0"/>
              <w:rPr>
                <w:rFonts w:hint="eastAsia" w:ascii="黑体" w:hAnsi="黑体" w:eastAsia="黑体" w:cs="黑体"/>
                <w:i/>
                <w:iCs/>
                <w:color w:val="000000"/>
                <w:sz w:val="18"/>
                <w:szCs w:val="18"/>
                <w:u w:val="none"/>
              </w:rPr>
            </w:pPr>
          </w:p>
        </w:tc>
      </w:tr>
      <w:tr w14:paraId="0DC2B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ACFA6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FF99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843B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E68E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A511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3030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A9EF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00E56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DC41C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632A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48D3A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63851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134C4B">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DCBC9">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A0007">
            <w:pPr>
              <w:snapToGrid w:val="0"/>
              <w:jc w:val="center"/>
              <w:rPr>
                <w:rFonts w:hint="eastAsia" w:ascii="宋体" w:hAnsi="宋体" w:eastAsia="宋体" w:cs="宋体"/>
                <w:i w:val="0"/>
                <w:iCs w:val="0"/>
                <w:color w:val="000000"/>
                <w:sz w:val="18"/>
                <w:szCs w:val="18"/>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D688E">
            <w:pPr>
              <w:snapToGrid w:val="0"/>
              <w:jc w:val="center"/>
              <w:rPr>
                <w:rFonts w:hint="eastAsia" w:ascii="宋体" w:hAnsi="宋体" w:eastAsia="宋体" w:cs="宋体"/>
                <w:i w:val="0"/>
                <w:iCs w:val="0"/>
                <w:color w:val="000000"/>
                <w:sz w:val="18"/>
                <w:szCs w:val="18"/>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9145B">
            <w:pPr>
              <w:snapToGrid w:val="0"/>
              <w:jc w:val="center"/>
              <w:rPr>
                <w:rFonts w:hint="eastAsia" w:ascii="宋体" w:hAnsi="宋体" w:eastAsia="宋体" w:cs="宋体"/>
                <w:i w:val="0"/>
                <w:iCs w:val="0"/>
                <w:color w:val="000000"/>
                <w:sz w:val="18"/>
                <w:szCs w:val="18"/>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93B483">
            <w:pPr>
              <w:snapToGrid w:val="0"/>
              <w:jc w:val="center"/>
              <w:rPr>
                <w:rFonts w:hint="eastAsia" w:ascii="宋体" w:hAnsi="宋体" w:eastAsia="宋体" w:cs="宋体"/>
                <w:i w:val="0"/>
                <w:iCs w:val="0"/>
                <w:color w:val="000000"/>
                <w:sz w:val="18"/>
                <w:szCs w:val="18"/>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B24A7">
            <w:pPr>
              <w:snapToGrid w:val="0"/>
              <w:jc w:val="center"/>
              <w:rPr>
                <w:rFonts w:hint="eastAsia" w:ascii="宋体" w:hAnsi="宋体" w:eastAsia="宋体" w:cs="宋体"/>
                <w:i w:val="0"/>
                <w:iCs w:val="0"/>
                <w:color w:val="000000"/>
                <w:sz w:val="18"/>
                <w:szCs w:val="18"/>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5A554">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B63E7A">
            <w:pPr>
              <w:snapToGrid w:val="0"/>
              <w:jc w:val="center"/>
              <w:rPr>
                <w:rFonts w:hint="eastAsia" w:ascii="宋体" w:hAnsi="宋体" w:eastAsia="宋体" w:cs="宋体"/>
                <w:i w:val="0"/>
                <w:iCs w:val="0"/>
                <w:color w:val="000000"/>
                <w:sz w:val="18"/>
                <w:szCs w:val="18"/>
                <w:u w:val="none"/>
              </w:rPr>
            </w:pP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9D5C0">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D877">
            <w:pPr>
              <w:snapToGrid w:val="0"/>
              <w:jc w:val="center"/>
              <w:rPr>
                <w:rFonts w:hint="eastAsia" w:ascii="微软雅黑" w:hAnsi="微软雅黑" w:eastAsia="微软雅黑" w:cs="微软雅黑"/>
                <w:i/>
                <w:iCs/>
                <w:color w:val="000000"/>
                <w:sz w:val="16"/>
                <w:szCs w:val="16"/>
                <w:u w:val="none"/>
              </w:rPr>
            </w:pPr>
          </w:p>
        </w:tc>
      </w:tr>
      <w:tr w14:paraId="11BDD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6FCD0D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E2D2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54950">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18E09">
            <w:pPr>
              <w:snapToGrid w:val="0"/>
              <w:rPr>
                <w:rFonts w:hint="eastAsia" w:ascii="宋体" w:hAnsi="宋体" w:eastAsia="宋体" w:cs="宋体"/>
                <w:i w:val="0"/>
                <w:iCs w:val="0"/>
                <w:color w:val="000000"/>
                <w:sz w:val="18"/>
                <w:szCs w:val="18"/>
                <w:u w:val="none"/>
              </w:rPr>
            </w:pPr>
          </w:p>
        </w:tc>
      </w:tr>
      <w:tr w14:paraId="60645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A14E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40C1F17">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通过实施此项目减轻了受助职工一定的经济负担。</w:t>
            </w:r>
          </w:p>
        </w:tc>
      </w:tr>
      <w:tr w14:paraId="574B6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FF58C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AF16FEF">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20CAE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13EA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D3348E1">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511FA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2EA23DD">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项目负责人：朱艳</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EBB6F1A">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3DB39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811" w:hRule="atLeast"/>
          <w:jc w:val="center"/>
        </w:trPr>
        <w:tc>
          <w:tcPr>
            <w:tcW w:w="328" w:type="pct"/>
            <w:tcBorders>
              <w:top w:val="nil"/>
              <w:left w:val="nil"/>
              <w:bottom w:val="nil"/>
              <w:right w:val="nil"/>
            </w:tcBorders>
            <w:shd w:val="clear" w:color="auto" w:fill="auto"/>
            <w:vAlign w:val="center"/>
          </w:tcPr>
          <w:p w14:paraId="02739BBF">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00619602">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4F72A46B">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2005D2AF">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16F48C38">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69081C3B">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4BDA091B">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1D89DCC6">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4828D9DB">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5C7839B2">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4497C17B">
            <w:pPr>
              <w:snapToGrid w:val="0"/>
              <w:rPr>
                <w:rFonts w:hint="eastAsia" w:ascii="宋体" w:hAnsi="宋体" w:eastAsia="宋体" w:cs="宋体"/>
                <w:i w:val="0"/>
                <w:iCs w:val="0"/>
                <w:color w:val="000000"/>
                <w:sz w:val="18"/>
                <w:szCs w:val="18"/>
                <w:u w:val="none"/>
              </w:rPr>
            </w:pPr>
          </w:p>
        </w:tc>
      </w:tr>
      <w:tr w14:paraId="0AC48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06C56126">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69D5E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41FF0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553EE9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51340023Y000008733635-现代职业教育质量提升计划</w:t>
            </w:r>
          </w:p>
        </w:tc>
      </w:tr>
      <w:tr w14:paraId="6CF9F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C8952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C8F0D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75A25154">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A6DDE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13275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E9DBFE">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944418">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BA9E01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72356E9">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3FDAE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1CBCAE">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213EAD">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3BE5AAA">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探索解决长期以来职业教育和社会经济发展衔接不够用紧密的问题，调动社会力量提高职业教育的积极性，培养复合型技术技能人才。</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14E49C3">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提高职业教育的积极性，培养复合型技术技能人才。</w:t>
            </w:r>
          </w:p>
        </w:tc>
      </w:tr>
      <w:tr w14:paraId="740D3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E3ABF5">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A508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FF43D7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教学培育指导项目费用等。</w:t>
            </w:r>
          </w:p>
        </w:tc>
      </w:tr>
      <w:tr w14:paraId="317B1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CA65A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4386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5FB9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7C4C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D2DF8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2A3E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EC32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F0FC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8432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1D575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65EB7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FCE47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0F06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E660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99.19</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EB904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99.19</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FF976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111B5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A858">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F2DB76">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教学培育指导项目等。</w:t>
            </w:r>
          </w:p>
        </w:tc>
      </w:tr>
      <w:tr w14:paraId="54B5D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8BCE1C">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D6C4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F0F0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FD7C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99.19</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5206B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99.19</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E6185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7DDD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2E9A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EB6FDC">
            <w:pPr>
              <w:snapToGrid w:val="0"/>
              <w:rPr>
                <w:rFonts w:hint="eastAsia" w:ascii="黑体" w:hAnsi="黑体" w:eastAsia="黑体" w:cs="黑体"/>
                <w:i/>
                <w:iCs/>
                <w:color w:val="000000"/>
                <w:sz w:val="18"/>
                <w:szCs w:val="18"/>
                <w:u w:val="none"/>
              </w:rPr>
            </w:pPr>
          </w:p>
        </w:tc>
      </w:tr>
      <w:tr w14:paraId="43A14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81CC9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BC7A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2BE9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B608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1AFF7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4EEA9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BD3D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C016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0EC045">
            <w:pPr>
              <w:snapToGrid w:val="0"/>
              <w:rPr>
                <w:rFonts w:hint="eastAsia" w:ascii="黑体" w:hAnsi="黑体" w:eastAsia="黑体" w:cs="黑体"/>
                <w:i/>
                <w:iCs/>
                <w:color w:val="000000"/>
                <w:sz w:val="18"/>
                <w:szCs w:val="18"/>
                <w:u w:val="none"/>
              </w:rPr>
            </w:pPr>
          </w:p>
        </w:tc>
      </w:tr>
      <w:tr w14:paraId="4DCB6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0BA6F5">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92E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34FB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7A1B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E655F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C81B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5913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2FEC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E82ED8">
            <w:pPr>
              <w:snapToGrid w:val="0"/>
              <w:rPr>
                <w:rFonts w:hint="eastAsia" w:ascii="黑体" w:hAnsi="黑体" w:eastAsia="黑体" w:cs="黑体"/>
                <w:i/>
                <w:iCs/>
                <w:color w:val="000000"/>
                <w:sz w:val="18"/>
                <w:szCs w:val="18"/>
                <w:u w:val="none"/>
              </w:rPr>
            </w:pPr>
          </w:p>
        </w:tc>
      </w:tr>
      <w:tr w14:paraId="31800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AA9B1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D027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FAB3F">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980A6D">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634DF0">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9E6DB">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6CB88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8D19D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F3195">
            <w:pPr>
              <w:snapToGrid w:val="0"/>
              <w:rPr>
                <w:rFonts w:hint="eastAsia" w:ascii="黑体" w:hAnsi="黑体" w:eastAsia="黑体" w:cs="黑体"/>
                <w:i/>
                <w:iCs/>
                <w:color w:val="000000"/>
                <w:sz w:val="18"/>
                <w:szCs w:val="18"/>
                <w:u w:val="none"/>
              </w:rPr>
            </w:pPr>
          </w:p>
        </w:tc>
      </w:tr>
      <w:tr w14:paraId="1214B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C6CC9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A0A5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D7C6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69E90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8036B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E6C9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04FC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CD7D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6F16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D5F7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89A4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07403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270623">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DA32D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3AD3A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3843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完成教学设备采购，学生宿舍维修及教学研究等</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50B5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FAF1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D2C3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2CBCD">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7F12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998EA">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824E6">
            <w:pPr>
              <w:snapToGrid w:val="0"/>
              <w:jc w:val="center"/>
              <w:rPr>
                <w:rFonts w:hint="eastAsia" w:ascii="微软雅黑" w:hAnsi="微软雅黑" w:eastAsia="微软雅黑" w:cs="微软雅黑"/>
                <w:i/>
                <w:iCs/>
                <w:color w:val="000000"/>
                <w:sz w:val="16"/>
                <w:szCs w:val="16"/>
                <w:u w:val="none"/>
              </w:rPr>
            </w:pPr>
          </w:p>
        </w:tc>
      </w:tr>
      <w:tr w14:paraId="2BD92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FDD1CC">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BD3277">
            <w:pPr>
              <w:snapToGrid w:val="0"/>
              <w:jc w:val="center"/>
              <w:rPr>
                <w:rFonts w:hint="eastAsia" w:ascii="宋体" w:hAnsi="宋体" w:eastAsia="宋体" w:cs="宋体"/>
                <w:i w:val="0"/>
                <w:iCs w:val="0"/>
                <w:color w:val="000000"/>
                <w:sz w:val="18"/>
                <w:szCs w:val="18"/>
                <w:u w:val="none"/>
              </w:rPr>
            </w:pPr>
          </w:p>
        </w:tc>
        <w:tc>
          <w:tcPr>
            <w:tcW w:w="4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3F1CED">
            <w:pPr>
              <w:snapToGrid w:val="0"/>
              <w:jc w:val="center"/>
              <w:rPr>
                <w:rFonts w:hint="eastAsia" w:ascii="宋体" w:hAnsi="宋体" w:eastAsia="宋体" w:cs="宋体"/>
                <w:i w:val="0"/>
                <w:iCs w:val="0"/>
                <w:color w:val="000000"/>
                <w:sz w:val="18"/>
                <w:szCs w:val="18"/>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7637E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学生考证通过率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E0D4E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89DE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426C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87454">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2442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57157">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00DFF">
            <w:pPr>
              <w:snapToGrid w:val="0"/>
              <w:jc w:val="center"/>
              <w:rPr>
                <w:rFonts w:hint="eastAsia" w:ascii="微软雅黑" w:hAnsi="微软雅黑" w:eastAsia="微软雅黑" w:cs="微软雅黑"/>
                <w:i/>
                <w:iCs/>
                <w:color w:val="000000"/>
                <w:sz w:val="16"/>
                <w:szCs w:val="16"/>
                <w:u w:val="none"/>
              </w:rPr>
            </w:pPr>
          </w:p>
        </w:tc>
      </w:tr>
      <w:tr w14:paraId="490D6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4BD428">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8A3848">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C6AE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FD65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完成时间</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9587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388CB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2025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32CA4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8261D5">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4CE5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56225">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A00ED">
            <w:pPr>
              <w:snapToGrid w:val="0"/>
              <w:jc w:val="center"/>
              <w:rPr>
                <w:rFonts w:hint="eastAsia" w:ascii="微软雅黑" w:hAnsi="微软雅黑" w:eastAsia="微软雅黑" w:cs="微软雅黑"/>
                <w:i/>
                <w:iCs/>
                <w:color w:val="000000"/>
                <w:sz w:val="16"/>
                <w:szCs w:val="16"/>
                <w:u w:val="none"/>
              </w:rPr>
            </w:pPr>
          </w:p>
        </w:tc>
      </w:tr>
      <w:tr w14:paraId="28B60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90980">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D56DD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39DB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3844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培养复合型技术技能人才</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EBDFC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4473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长期</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C6AC1">
            <w:pPr>
              <w:snapToGrid w:val="0"/>
              <w:jc w:val="center"/>
              <w:rPr>
                <w:rFonts w:hint="eastAsia" w:ascii="宋体" w:hAnsi="宋体" w:eastAsia="宋体" w:cs="宋体"/>
                <w:i w:val="0"/>
                <w:iCs w:val="0"/>
                <w:color w:val="000000"/>
                <w:sz w:val="18"/>
                <w:szCs w:val="18"/>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7E2BBE">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E675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426D64">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D9E05">
            <w:pPr>
              <w:snapToGrid w:val="0"/>
              <w:jc w:val="center"/>
              <w:rPr>
                <w:rFonts w:hint="eastAsia" w:ascii="微软雅黑" w:hAnsi="微软雅黑" w:eastAsia="微软雅黑" w:cs="微软雅黑"/>
                <w:i/>
                <w:iCs/>
                <w:color w:val="000000"/>
                <w:sz w:val="16"/>
                <w:szCs w:val="16"/>
                <w:u w:val="none"/>
              </w:rPr>
            </w:pPr>
          </w:p>
        </w:tc>
      </w:tr>
      <w:tr w14:paraId="22D58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7A657A">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2FF43F">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B245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可持续影响指标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3DF7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提升学生成绩</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1F23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ABF9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长期</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62D3D">
            <w:pPr>
              <w:snapToGrid w:val="0"/>
              <w:jc w:val="center"/>
              <w:rPr>
                <w:rFonts w:hint="eastAsia" w:ascii="宋体" w:hAnsi="宋体" w:eastAsia="宋体" w:cs="宋体"/>
                <w:i w:val="0"/>
                <w:iCs w:val="0"/>
                <w:color w:val="000000"/>
                <w:sz w:val="18"/>
                <w:szCs w:val="18"/>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F19A7">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4B5E1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9A1418">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80510">
            <w:pPr>
              <w:snapToGrid w:val="0"/>
              <w:jc w:val="center"/>
              <w:rPr>
                <w:rFonts w:hint="eastAsia" w:ascii="微软雅黑" w:hAnsi="微软雅黑" w:eastAsia="微软雅黑" w:cs="微软雅黑"/>
                <w:i/>
                <w:iCs/>
                <w:color w:val="000000"/>
                <w:sz w:val="16"/>
                <w:szCs w:val="16"/>
                <w:u w:val="none"/>
              </w:rPr>
            </w:pPr>
          </w:p>
        </w:tc>
      </w:tr>
      <w:tr w14:paraId="12E6C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B1724">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FA4F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40D4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2E8D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学生满意度</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7C63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D26D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421F4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9DB49C">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EE29D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185103">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56ED2">
            <w:pPr>
              <w:snapToGrid w:val="0"/>
              <w:jc w:val="center"/>
              <w:rPr>
                <w:rFonts w:hint="eastAsia" w:ascii="微软雅黑" w:hAnsi="微软雅黑" w:eastAsia="微软雅黑" w:cs="微软雅黑"/>
                <w:i/>
                <w:iCs/>
                <w:color w:val="000000"/>
                <w:sz w:val="16"/>
                <w:szCs w:val="16"/>
                <w:u w:val="none"/>
              </w:rPr>
            </w:pPr>
          </w:p>
        </w:tc>
      </w:tr>
      <w:tr w14:paraId="1FF05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AADC1F">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EB6AD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成本指标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65AAC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经济成本指标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C3293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年总成本</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9C69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52CE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1555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4636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80744">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F32F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6184C7">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32C6B">
            <w:pPr>
              <w:snapToGrid w:val="0"/>
              <w:jc w:val="center"/>
              <w:rPr>
                <w:rFonts w:hint="eastAsia" w:ascii="微软雅黑" w:hAnsi="微软雅黑" w:eastAsia="微软雅黑" w:cs="微软雅黑"/>
                <w:i/>
                <w:iCs/>
                <w:color w:val="000000"/>
                <w:sz w:val="16"/>
                <w:szCs w:val="16"/>
                <w:u w:val="none"/>
              </w:rPr>
            </w:pPr>
          </w:p>
        </w:tc>
      </w:tr>
      <w:tr w14:paraId="712DD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5DCD1D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83DC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95CDB9">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07EAA">
            <w:pPr>
              <w:snapToGrid w:val="0"/>
              <w:rPr>
                <w:rFonts w:hint="eastAsia" w:ascii="宋体" w:hAnsi="宋体" w:eastAsia="宋体" w:cs="宋体"/>
                <w:i w:val="0"/>
                <w:iCs w:val="0"/>
                <w:color w:val="000000"/>
                <w:sz w:val="18"/>
                <w:szCs w:val="18"/>
                <w:u w:val="none"/>
              </w:rPr>
            </w:pPr>
          </w:p>
        </w:tc>
      </w:tr>
      <w:tr w14:paraId="20E85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AFF9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99F802E">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提高职业教育的积极性，培养复合型技术技能人才。</w:t>
            </w:r>
          </w:p>
        </w:tc>
      </w:tr>
      <w:tr w14:paraId="00657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7B85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191F2C5">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0FFA0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A40E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BE9F4C8">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33049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C3C757">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项目负责人：余彪</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A59C565">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3BD8E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61860155">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59C277E1">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0D07A04C">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338F6614">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1F70F256">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16C8EECE">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7EF4C54A">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133252A1">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3F6331BD">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2B531994">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06DA74A0">
            <w:pPr>
              <w:snapToGrid w:val="0"/>
              <w:rPr>
                <w:rFonts w:hint="eastAsia" w:ascii="宋体" w:hAnsi="宋体" w:eastAsia="宋体" w:cs="宋体"/>
                <w:i w:val="0"/>
                <w:iCs w:val="0"/>
                <w:color w:val="000000"/>
                <w:sz w:val="18"/>
                <w:szCs w:val="18"/>
                <w:u w:val="none"/>
              </w:rPr>
            </w:pPr>
          </w:p>
        </w:tc>
      </w:tr>
      <w:tr w14:paraId="694A6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4183DBC">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6A4B4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E0EC5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1CBFE03">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51340024R000010184871-州本级工资支出（事业）</w:t>
            </w:r>
          </w:p>
        </w:tc>
      </w:tr>
      <w:tr w14:paraId="09E7F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7C7559">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8D58CFE">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03C6ACCC">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6C801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6BE8B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0382D7">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76AD7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CBE660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2BD4F4D">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4C1D0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B8A7EF">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67432A">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A69001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严格执行相关政策，保障工资及时、足额发放或社保及时、足额缴纳，预算编制科学合理，减少结余资金。</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A708B3C">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保障工资及时、足额发放或社保及时、足额缴纳。</w:t>
            </w:r>
          </w:p>
        </w:tc>
      </w:tr>
      <w:tr w14:paraId="18075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D3E3B7">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07E197">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178A36B">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2024年教职工月工资、绩效及时清算发放。</w:t>
            </w:r>
          </w:p>
        </w:tc>
      </w:tr>
      <w:tr w14:paraId="66D5B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B2DF0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2BA8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7D30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3C88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8FAD9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56738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36CB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89DE0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34CA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4B993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93849">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3211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B6F9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834.47</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963C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868.95</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C4669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868.95</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D9204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CE260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F6DC7">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BE9B2A">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2024年新进15人，正常调增。</w:t>
            </w:r>
          </w:p>
        </w:tc>
      </w:tr>
      <w:tr w14:paraId="07936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4E8595">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38067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F526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834.47</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5267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868.95</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41C3C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868.95</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6EFC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E139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6DEC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74CF0">
            <w:pPr>
              <w:snapToGrid w:val="0"/>
              <w:rPr>
                <w:rFonts w:hint="eastAsia" w:ascii="黑体" w:hAnsi="黑体" w:eastAsia="黑体" w:cs="黑体"/>
                <w:i/>
                <w:iCs/>
                <w:color w:val="000000"/>
                <w:sz w:val="18"/>
                <w:szCs w:val="18"/>
                <w:u w:val="none"/>
              </w:rPr>
            </w:pPr>
          </w:p>
        </w:tc>
      </w:tr>
      <w:tr w14:paraId="75CF6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0F6BC1">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F76C8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BBA9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81B6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45BB7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BE47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9805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5613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F6FEBD">
            <w:pPr>
              <w:snapToGrid w:val="0"/>
              <w:rPr>
                <w:rFonts w:hint="eastAsia" w:ascii="黑体" w:hAnsi="黑体" w:eastAsia="黑体" w:cs="黑体"/>
                <w:i/>
                <w:iCs/>
                <w:color w:val="000000"/>
                <w:sz w:val="18"/>
                <w:szCs w:val="18"/>
                <w:u w:val="none"/>
              </w:rPr>
            </w:pPr>
          </w:p>
        </w:tc>
      </w:tr>
      <w:tr w14:paraId="59FFD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346051">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89E7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44B1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79E1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1D7C3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B75B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3990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7DEC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09791E">
            <w:pPr>
              <w:snapToGrid w:val="0"/>
              <w:rPr>
                <w:rFonts w:hint="eastAsia" w:ascii="黑体" w:hAnsi="黑体" w:eastAsia="黑体" w:cs="黑体"/>
                <w:i/>
                <w:iCs/>
                <w:color w:val="000000"/>
                <w:sz w:val="18"/>
                <w:szCs w:val="18"/>
                <w:u w:val="none"/>
              </w:rPr>
            </w:pPr>
          </w:p>
        </w:tc>
      </w:tr>
      <w:tr w14:paraId="2B667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F04B71">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F3825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94561">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A4323">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12846E">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C389E1">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9DE9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4423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9A67F">
            <w:pPr>
              <w:snapToGrid w:val="0"/>
              <w:rPr>
                <w:rFonts w:hint="eastAsia" w:ascii="黑体" w:hAnsi="黑体" w:eastAsia="黑体" w:cs="黑体"/>
                <w:i/>
                <w:iCs/>
                <w:color w:val="000000"/>
                <w:sz w:val="18"/>
                <w:szCs w:val="18"/>
                <w:u w:val="none"/>
              </w:rPr>
            </w:pPr>
          </w:p>
        </w:tc>
      </w:tr>
      <w:tr w14:paraId="57513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5F091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88E24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0043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BEA0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2D3FC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5F5F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05D3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9006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3863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F7B5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A55B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3563A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17558F">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D188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7729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D87F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发放（缴纳）覆盖率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E42A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88226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E065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A5A84">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3A56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6D6D8E">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537585">
            <w:pPr>
              <w:snapToGrid w:val="0"/>
              <w:jc w:val="center"/>
              <w:rPr>
                <w:rFonts w:hint="eastAsia" w:ascii="微软雅黑" w:hAnsi="微软雅黑" w:eastAsia="微软雅黑" w:cs="微软雅黑"/>
                <w:i/>
                <w:iCs/>
                <w:color w:val="000000"/>
                <w:sz w:val="16"/>
                <w:szCs w:val="16"/>
                <w:u w:val="none"/>
              </w:rPr>
            </w:pPr>
          </w:p>
        </w:tc>
      </w:tr>
      <w:tr w14:paraId="1B253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806DA8">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4E3E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4DF0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BAF79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足额保障率（参保率）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CF85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B417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072CD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B34AA">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D942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A4B05">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E49F7">
            <w:pPr>
              <w:snapToGrid w:val="0"/>
              <w:jc w:val="center"/>
              <w:rPr>
                <w:rFonts w:hint="eastAsia" w:ascii="微软雅黑" w:hAnsi="微软雅黑" w:eastAsia="微软雅黑" w:cs="微软雅黑"/>
                <w:i/>
                <w:iCs/>
                <w:color w:val="000000"/>
                <w:sz w:val="16"/>
                <w:szCs w:val="16"/>
                <w:u w:val="none"/>
              </w:rPr>
            </w:pPr>
          </w:p>
        </w:tc>
      </w:tr>
      <w:tr w14:paraId="7824C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B2A700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B80C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3D082">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3DF948">
            <w:pPr>
              <w:snapToGrid w:val="0"/>
              <w:rPr>
                <w:rFonts w:hint="eastAsia" w:ascii="宋体" w:hAnsi="宋体" w:eastAsia="宋体" w:cs="宋体"/>
                <w:i w:val="0"/>
                <w:iCs w:val="0"/>
                <w:color w:val="000000"/>
                <w:sz w:val="18"/>
                <w:szCs w:val="18"/>
                <w:u w:val="none"/>
              </w:rPr>
            </w:pPr>
          </w:p>
        </w:tc>
      </w:tr>
      <w:tr w14:paraId="63E7A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AF717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4BA7373">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保障工资及时、足额发放或社保及时、足额缴纳。</w:t>
            </w:r>
          </w:p>
        </w:tc>
      </w:tr>
      <w:tr w14:paraId="0E075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01EF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3D900AC">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76AEE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5B24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28685DC">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27CC06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8EF252">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项目负责人：朱艳</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5FE32C9">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1C2AF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3BADFD2C">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4E8E94CC">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122E610D">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00F2DE6F">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6CE830D6">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7B9568E4">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7C26F7D4">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67A2336F">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66E5AFE0">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3DBC3282">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2552A363">
            <w:pPr>
              <w:snapToGrid w:val="0"/>
              <w:rPr>
                <w:rFonts w:hint="eastAsia" w:ascii="宋体" w:hAnsi="宋体" w:eastAsia="宋体" w:cs="宋体"/>
                <w:i w:val="0"/>
                <w:iCs w:val="0"/>
                <w:color w:val="000000"/>
                <w:sz w:val="18"/>
                <w:szCs w:val="18"/>
                <w:u w:val="none"/>
              </w:rPr>
            </w:pPr>
          </w:p>
        </w:tc>
      </w:tr>
      <w:tr w14:paraId="66DB9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11DD36B1">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25413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00567B">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BD1F888">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51340024R000010188546-州本级目标绩效（事业）</w:t>
            </w:r>
          </w:p>
        </w:tc>
      </w:tr>
      <w:tr w14:paraId="4736B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F769F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1981F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4999E19D">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E7A24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62435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5A6B0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D6C06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7F195B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4D935B">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736F6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1CCC1">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E8536F">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12C930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严格执行相关政策，保障工资及时、足额发放或社保及时、足额缴纳，预算编制科学合理，减少结余资金。</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6EB3FDE">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严格执行相关政策，保障工资及时、足额发放或社保及时、足额缴纳。</w:t>
            </w:r>
          </w:p>
        </w:tc>
      </w:tr>
      <w:tr w14:paraId="7FCF7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226A31">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67693">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30333F6">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严格执行相关政策，职工目标绩效及时、足额发放。</w:t>
            </w:r>
          </w:p>
        </w:tc>
      </w:tr>
      <w:tr w14:paraId="22FF0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FAE08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A81B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63FC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F9B1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C9728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F6451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2B44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596D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9EA5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509D6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71B17B">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1980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63A8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450.80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1084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469.29</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BD67C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469.29</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DA4F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74220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B9146">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FFD87E">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2024年新进15人，正常调增。</w:t>
            </w:r>
          </w:p>
        </w:tc>
      </w:tr>
      <w:tr w14:paraId="63305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0AF2BF">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D915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DA0B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450.80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F11A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469.29</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EB1FA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469.29</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AE69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65E6F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6EF76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EA2B7">
            <w:pPr>
              <w:snapToGrid w:val="0"/>
              <w:rPr>
                <w:rFonts w:hint="eastAsia" w:ascii="黑体" w:hAnsi="黑体" w:eastAsia="黑体" w:cs="黑体"/>
                <w:i/>
                <w:iCs/>
                <w:color w:val="000000"/>
                <w:sz w:val="18"/>
                <w:szCs w:val="18"/>
                <w:u w:val="none"/>
              </w:rPr>
            </w:pPr>
          </w:p>
        </w:tc>
      </w:tr>
      <w:tr w14:paraId="58B32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E9B2C9">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A7D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43CD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ED9E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335A7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DBED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6C4F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57AF8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76984B">
            <w:pPr>
              <w:snapToGrid w:val="0"/>
              <w:rPr>
                <w:rFonts w:hint="eastAsia" w:ascii="黑体" w:hAnsi="黑体" w:eastAsia="黑体" w:cs="黑体"/>
                <w:i/>
                <w:iCs/>
                <w:color w:val="000000"/>
                <w:sz w:val="18"/>
                <w:szCs w:val="18"/>
                <w:u w:val="none"/>
              </w:rPr>
            </w:pPr>
          </w:p>
        </w:tc>
      </w:tr>
      <w:tr w14:paraId="1DD13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D53536">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6708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D7704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41AA0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39719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5E4D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4D7A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12F8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DD25A2">
            <w:pPr>
              <w:snapToGrid w:val="0"/>
              <w:rPr>
                <w:rFonts w:hint="eastAsia" w:ascii="黑体" w:hAnsi="黑体" w:eastAsia="黑体" w:cs="黑体"/>
                <w:i/>
                <w:iCs/>
                <w:color w:val="000000"/>
                <w:sz w:val="18"/>
                <w:szCs w:val="18"/>
                <w:u w:val="none"/>
              </w:rPr>
            </w:pPr>
          </w:p>
        </w:tc>
      </w:tr>
      <w:tr w14:paraId="7F481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2012B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022F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02B65">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32349">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8AD7CD">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182E1">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18E7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8DC6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6B2AB3">
            <w:pPr>
              <w:snapToGrid w:val="0"/>
              <w:rPr>
                <w:rFonts w:hint="eastAsia" w:ascii="黑体" w:hAnsi="黑体" w:eastAsia="黑体" w:cs="黑体"/>
                <w:i/>
                <w:iCs/>
                <w:color w:val="000000"/>
                <w:sz w:val="18"/>
                <w:szCs w:val="18"/>
                <w:u w:val="none"/>
              </w:rPr>
            </w:pPr>
          </w:p>
        </w:tc>
      </w:tr>
      <w:tr w14:paraId="7B129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D755F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E820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EBCA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7DF0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32180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986B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AE99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4CD7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9420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E9BF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DCC2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08DE2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E83912">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56493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C5B12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42B58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发放（缴纳）覆盖率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61B7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3BDF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F871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FA30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3B00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685DE">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FBBD6">
            <w:pPr>
              <w:snapToGrid w:val="0"/>
              <w:jc w:val="center"/>
              <w:rPr>
                <w:rFonts w:hint="eastAsia" w:ascii="微软雅黑" w:hAnsi="微软雅黑" w:eastAsia="微软雅黑" w:cs="微软雅黑"/>
                <w:i/>
                <w:iCs/>
                <w:color w:val="000000"/>
                <w:sz w:val="16"/>
                <w:szCs w:val="16"/>
                <w:u w:val="none"/>
              </w:rPr>
            </w:pPr>
          </w:p>
        </w:tc>
      </w:tr>
      <w:tr w14:paraId="774C5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FB960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0251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FEEE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0EFB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足额保障率（参保率）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E7DD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7E8E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0483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47847">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750D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7E4F8">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08833">
            <w:pPr>
              <w:snapToGrid w:val="0"/>
              <w:jc w:val="center"/>
              <w:rPr>
                <w:rFonts w:hint="eastAsia" w:ascii="微软雅黑" w:hAnsi="微软雅黑" w:eastAsia="微软雅黑" w:cs="微软雅黑"/>
                <w:i/>
                <w:iCs/>
                <w:color w:val="000000"/>
                <w:sz w:val="16"/>
                <w:szCs w:val="16"/>
                <w:u w:val="none"/>
              </w:rPr>
            </w:pPr>
          </w:p>
        </w:tc>
      </w:tr>
      <w:tr w14:paraId="35B49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969ADF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4919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06522B">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FE190">
            <w:pPr>
              <w:snapToGrid w:val="0"/>
              <w:rPr>
                <w:rFonts w:hint="eastAsia" w:ascii="宋体" w:hAnsi="宋体" w:eastAsia="宋体" w:cs="宋体"/>
                <w:i w:val="0"/>
                <w:iCs w:val="0"/>
                <w:color w:val="000000"/>
                <w:sz w:val="18"/>
                <w:szCs w:val="18"/>
                <w:u w:val="none"/>
              </w:rPr>
            </w:pPr>
          </w:p>
        </w:tc>
      </w:tr>
      <w:tr w14:paraId="18FE2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C310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5B3FB0C">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严格执行相关政策，职工目标绩效及时、足额发放。</w:t>
            </w:r>
          </w:p>
        </w:tc>
      </w:tr>
      <w:tr w14:paraId="3D6E0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CAC7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E529BFC">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5EBBD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AA077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B153F4A">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667FE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233D6EF">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项目负责人：朱艳</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911CAC8">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2850B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686CCAA3">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2EA8D76E">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0675EC35">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7E4F7971">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5E9AA977">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694CDF2F">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7B98BE00">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6D006D5D">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64E7E1EA">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6467ED64">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3652955C">
            <w:pPr>
              <w:snapToGrid w:val="0"/>
              <w:rPr>
                <w:rFonts w:hint="eastAsia" w:ascii="宋体" w:hAnsi="宋体" w:eastAsia="宋体" w:cs="宋体"/>
                <w:i w:val="0"/>
                <w:iCs w:val="0"/>
                <w:color w:val="000000"/>
                <w:sz w:val="18"/>
                <w:szCs w:val="18"/>
                <w:u w:val="none"/>
              </w:rPr>
            </w:pPr>
          </w:p>
        </w:tc>
      </w:tr>
      <w:tr w14:paraId="65F17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47A7E870">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63950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687F4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887EA27">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51340024R000010189088-州本级在职工资附加性支出（事业）</w:t>
            </w:r>
          </w:p>
        </w:tc>
      </w:tr>
      <w:tr w14:paraId="63913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42DDDB">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3E7249">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338B049E">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6DD8C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32715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61054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34E9E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1D034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4D19323">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70FFD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E87EB5">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2F3F7B">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5ECC7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严格执行相关政策，保障工资及时、足额发放或社保及时、足额缴纳，预算编制科学合理，减少结余资金。</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2090DBC">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严格执行相关政策，社保及时、足额缴纳。</w:t>
            </w:r>
          </w:p>
        </w:tc>
      </w:tr>
      <w:tr w14:paraId="48EB1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F19AAA">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BBAE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1FC9FE9">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严格执行相关政策，社保及时、足额缴纳。</w:t>
            </w:r>
          </w:p>
        </w:tc>
      </w:tr>
      <w:tr w14:paraId="2A219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EC5D7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D632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0EF13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E49B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50A21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078F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A56A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A9E2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4DE8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0C6EB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2E89C3">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92DD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2500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506.21</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9073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514.26</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7CEC9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514.26</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FF48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D2011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9B347">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CEB5D8">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2024年新进15人，正常调增。</w:t>
            </w:r>
          </w:p>
        </w:tc>
      </w:tr>
      <w:tr w14:paraId="7B233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E4EAEC">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3A75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1766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506.21</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FBCE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514.26</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F7A74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514.26</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573E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C279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E33EF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6565E5">
            <w:pPr>
              <w:snapToGrid w:val="0"/>
              <w:rPr>
                <w:rFonts w:hint="eastAsia" w:ascii="黑体" w:hAnsi="黑体" w:eastAsia="黑体" w:cs="黑体"/>
                <w:i/>
                <w:iCs/>
                <w:color w:val="000000"/>
                <w:sz w:val="18"/>
                <w:szCs w:val="18"/>
                <w:u w:val="none"/>
              </w:rPr>
            </w:pPr>
          </w:p>
        </w:tc>
      </w:tr>
      <w:tr w14:paraId="21ED3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7DBA1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751E4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67514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5274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E65E4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31BA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3C22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A50F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5C93DD">
            <w:pPr>
              <w:snapToGrid w:val="0"/>
              <w:rPr>
                <w:rFonts w:hint="eastAsia" w:ascii="黑体" w:hAnsi="黑体" w:eastAsia="黑体" w:cs="黑体"/>
                <w:i/>
                <w:iCs/>
                <w:color w:val="000000"/>
                <w:sz w:val="18"/>
                <w:szCs w:val="18"/>
                <w:u w:val="none"/>
              </w:rPr>
            </w:pPr>
          </w:p>
        </w:tc>
      </w:tr>
      <w:tr w14:paraId="60799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F4CFA2">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EF6A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1403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4604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6B922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C2C7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AF65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2E6D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905B79">
            <w:pPr>
              <w:snapToGrid w:val="0"/>
              <w:rPr>
                <w:rFonts w:hint="eastAsia" w:ascii="黑体" w:hAnsi="黑体" w:eastAsia="黑体" w:cs="黑体"/>
                <w:i/>
                <w:iCs/>
                <w:color w:val="000000"/>
                <w:sz w:val="18"/>
                <w:szCs w:val="18"/>
                <w:u w:val="none"/>
              </w:rPr>
            </w:pPr>
          </w:p>
        </w:tc>
      </w:tr>
      <w:tr w14:paraId="6592A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68B368">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8BF5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34C39">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1D2F0">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795272">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55E97">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E8FAE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92E0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B9F0F9">
            <w:pPr>
              <w:snapToGrid w:val="0"/>
              <w:rPr>
                <w:rFonts w:hint="eastAsia" w:ascii="黑体" w:hAnsi="黑体" w:eastAsia="黑体" w:cs="黑体"/>
                <w:i/>
                <w:iCs/>
                <w:color w:val="000000"/>
                <w:sz w:val="18"/>
                <w:szCs w:val="18"/>
                <w:u w:val="none"/>
              </w:rPr>
            </w:pPr>
          </w:p>
        </w:tc>
      </w:tr>
      <w:tr w14:paraId="04695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BB761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94D9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3D35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E8766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FCFC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3FD2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D1C6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725D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A842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140E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BE6E5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25534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B17968">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3DF6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ED66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157B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发放（缴纳）覆盖率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F44C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C0F9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2364C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36F546">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BEEE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01803B">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9665F">
            <w:pPr>
              <w:snapToGrid w:val="0"/>
              <w:jc w:val="center"/>
              <w:rPr>
                <w:rFonts w:hint="eastAsia" w:ascii="微软雅黑" w:hAnsi="微软雅黑" w:eastAsia="微软雅黑" w:cs="微软雅黑"/>
                <w:i/>
                <w:iCs/>
                <w:color w:val="000000"/>
                <w:sz w:val="16"/>
                <w:szCs w:val="16"/>
                <w:u w:val="none"/>
              </w:rPr>
            </w:pPr>
          </w:p>
        </w:tc>
      </w:tr>
      <w:tr w14:paraId="48D48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13554D">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C201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6E5B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FD00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足额保障率（参保率）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AA2A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512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8D55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A71DCC">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16B5D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76F2CB">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3F649F">
            <w:pPr>
              <w:snapToGrid w:val="0"/>
              <w:jc w:val="center"/>
              <w:rPr>
                <w:rFonts w:hint="eastAsia" w:ascii="微软雅黑" w:hAnsi="微软雅黑" w:eastAsia="微软雅黑" w:cs="微软雅黑"/>
                <w:i/>
                <w:iCs/>
                <w:color w:val="000000"/>
                <w:sz w:val="16"/>
                <w:szCs w:val="16"/>
                <w:u w:val="none"/>
              </w:rPr>
            </w:pPr>
          </w:p>
        </w:tc>
      </w:tr>
      <w:tr w14:paraId="52F1F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67303F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F641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79B94">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17257">
            <w:pPr>
              <w:snapToGrid w:val="0"/>
              <w:rPr>
                <w:rFonts w:hint="eastAsia" w:ascii="宋体" w:hAnsi="宋体" w:eastAsia="宋体" w:cs="宋体"/>
                <w:i w:val="0"/>
                <w:iCs w:val="0"/>
                <w:color w:val="000000"/>
                <w:sz w:val="18"/>
                <w:szCs w:val="18"/>
                <w:u w:val="none"/>
              </w:rPr>
            </w:pPr>
          </w:p>
        </w:tc>
      </w:tr>
      <w:tr w14:paraId="231B0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E0C59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D4E5A98">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社保及时、足额缴纳。</w:t>
            </w:r>
          </w:p>
        </w:tc>
      </w:tr>
      <w:tr w14:paraId="3A5837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ED3F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FE43B8F">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00A6B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F339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DE33E4B">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66126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438AAF2">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项目负责人：朱艳</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A63117B">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4A3C8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687E34B5">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25F9FD97">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5529EB06">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26F93834">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3AFE5EA6">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1CFAB58F">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1915196A">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2908213F">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4DA25A3E">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2DEB860F">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47A10C17">
            <w:pPr>
              <w:snapToGrid w:val="0"/>
              <w:rPr>
                <w:rFonts w:hint="eastAsia" w:ascii="宋体" w:hAnsi="宋体" w:eastAsia="宋体" w:cs="宋体"/>
                <w:i w:val="0"/>
                <w:iCs w:val="0"/>
                <w:color w:val="000000"/>
                <w:sz w:val="18"/>
                <w:szCs w:val="18"/>
                <w:u w:val="none"/>
              </w:rPr>
            </w:pPr>
          </w:p>
        </w:tc>
      </w:tr>
      <w:tr w14:paraId="528C8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748203B">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57BB3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F0763F">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086F92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51340024R000010191316-州本级退休（职）人员生活补助(事业）</w:t>
            </w:r>
          </w:p>
        </w:tc>
      </w:tr>
      <w:tr w14:paraId="2CB01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8CD0A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EC34C02">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379F6FA6">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0D6E2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4894B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3D3563">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B13283">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8274A7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068BD9D">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6CD8F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9C6698">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4B396E">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4EC21B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严格执行相关政策，保障工资及时、足额发放或社保及时、足额缴纳，预算编制科学合理，减少结余资金。</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03A2F20">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严格执行相关政策，保障工资及时、足额发放。</w:t>
            </w:r>
          </w:p>
        </w:tc>
      </w:tr>
      <w:tr w14:paraId="6752C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CDDFEB">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C56F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ABB4A57">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按时发放退休人员生活补助。</w:t>
            </w:r>
          </w:p>
        </w:tc>
      </w:tr>
      <w:tr w14:paraId="08D6E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52854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7368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0591A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51304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ED893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18B5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3DA7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BD43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62064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5584D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F485B8">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9523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989A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227.14</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5D69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234.42</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90C9E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234.42</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987F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7247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A15B2">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BEC563">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2024年退休8人。</w:t>
            </w:r>
          </w:p>
        </w:tc>
      </w:tr>
      <w:tr w14:paraId="19719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A5F4BF">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D12D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677C3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227.14</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8249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234.42</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EE7D4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234.42</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11A3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0ACC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7DFBD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79A417">
            <w:pPr>
              <w:snapToGrid w:val="0"/>
              <w:rPr>
                <w:rFonts w:hint="eastAsia" w:ascii="黑体" w:hAnsi="黑体" w:eastAsia="黑体" w:cs="黑体"/>
                <w:i/>
                <w:iCs/>
                <w:color w:val="000000"/>
                <w:sz w:val="18"/>
                <w:szCs w:val="18"/>
                <w:u w:val="none"/>
              </w:rPr>
            </w:pPr>
          </w:p>
        </w:tc>
      </w:tr>
      <w:tr w14:paraId="149C0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95D4F8">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D469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C034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16E6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ACE7A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1F75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D9E7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1D30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14ADAD">
            <w:pPr>
              <w:snapToGrid w:val="0"/>
              <w:rPr>
                <w:rFonts w:hint="eastAsia" w:ascii="黑体" w:hAnsi="黑体" w:eastAsia="黑体" w:cs="黑体"/>
                <w:i/>
                <w:iCs/>
                <w:color w:val="000000"/>
                <w:sz w:val="18"/>
                <w:szCs w:val="18"/>
                <w:u w:val="none"/>
              </w:rPr>
            </w:pPr>
          </w:p>
        </w:tc>
      </w:tr>
      <w:tr w14:paraId="4CA70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A14D07">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90B8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DD81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9912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2CAA1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5C00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101FF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A93C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557941">
            <w:pPr>
              <w:snapToGrid w:val="0"/>
              <w:rPr>
                <w:rFonts w:hint="eastAsia" w:ascii="黑体" w:hAnsi="黑体" w:eastAsia="黑体" w:cs="黑体"/>
                <w:i/>
                <w:iCs/>
                <w:color w:val="000000"/>
                <w:sz w:val="18"/>
                <w:szCs w:val="18"/>
                <w:u w:val="none"/>
              </w:rPr>
            </w:pPr>
          </w:p>
        </w:tc>
      </w:tr>
      <w:tr w14:paraId="041D6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B86D1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1AE8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F806CC">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105573">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ACC864">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0FB0C8">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8F9F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C529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3E8D8A">
            <w:pPr>
              <w:snapToGrid w:val="0"/>
              <w:rPr>
                <w:rFonts w:hint="eastAsia" w:ascii="黑体" w:hAnsi="黑体" w:eastAsia="黑体" w:cs="黑体"/>
                <w:i/>
                <w:iCs/>
                <w:color w:val="000000"/>
                <w:sz w:val="18"/>
                <w:szCs w:val="18"/>
                <w:u w:val="none"/>
              </w:rPr>
            </w:pPr>
          </w:p>
        </w:tc>
      </w:tr>
      <w:tr w14:paraId="363FB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270E7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9B6A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18506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27B4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7A3F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7ACE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6FB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1850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80C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DE78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F75E1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6C153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23A7AB">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C395F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69ED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8127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发放（缴纳）覆盖率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D357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FCE3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E3AE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F7E3A">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8ED00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5EDC2">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DA125">
            <w:pPr>
              <w:snapToGrid w:val="0"/>
              <w:jc w:val="center"/>
              <w:rPr>
                <w:rFonts w:hint="eastAsia" w:ascii="微软雅黑" w:hAnsi="微软雅黑" w:eastAsia="微软雅黑" w:cs="微软雅黑"/>
                <w:i/>
                <w:iCs/>
                <w:color w:val="000000"/>
                <w:sz w:val="16"/>
                <w:szCs w:val="16"/>
                <w:u w:val="none"/>
              </w:rPr>
            </w:pPr>
          </w:p>
        </w:tc>
      </w:tr>
      <w:tr w14:paraId="4A0CE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32961F">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D0A85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0164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5A5C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足额保障率（参保率）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539F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4FFC7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E2F1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2DCF9">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FF7CD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B2B3A">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E8D826">
            <w:pPr>
              <w:snapToGrid w:val="0"/>
              <w:jc w:val="center"/>
              <w:rPr>
                <w:rFonts w:hint="eastAsia" w:ascii="微软雅黑" w:hAnsi="微软雅黑" w:eastAsia="微软雅黑" w:cs="微软雅黑"/>
                <w:i/>
                <w:iCs/>
                <w:color w:val="000000"/>
                <w:sz w:val="16"/>
                <w:szCs w:val="16"/>
                <w:u w:val="none"/>
              </w:rPr>
            </w:pPr>
          </w:p>
        </w:tc>
      </w:tr>
      <w:tr w14:paraId="38A78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2B4376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868A1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667C1B">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B1FB4">
            <w:pPr>
              <w:snapToGrid w:val="0"/>
              <w:rPr>
                <w:rFonts w:hint="eastAsia" w:ascii="宋体" w:hAnsi="宋体" w:eastAsia="宋体" w:cs="宋体"/>
                <w:i w:val="0"/>
                <w:iCs w:val="0"/>
                <w:color w:val="000000"/>
                <w:sz w:val="18"/>
                <w:szCs w:val="18"/>
                <w:u w:val="none"/>
              </w:rPr>
            </w:pPr>
          </w:p>
        </w:tc>
      </w:tr>
      <w:tr w14:paraId="3B572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0023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6C9A35F">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保障职工退休后的生活开支。</w:t>
            </w:r>
          </w:p>
        </w:tc>
      </w:tr>
      <w:tr w14:paraId="2956C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11E5D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8894CA6">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77FEA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3FE9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200AB03">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48C35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B89550">
            <w:pPr>
              <w:keepNext w:val="0"/>
              <w:keepLines w:val="0"/>
              <w:widowControl/>
              <w:suppressLineNumbers w:val="0"/>
              <w:snapToGrid w:val="0"/>
              <w:jc w:val="left"/>
              <w:textAlignment w:val="center"/>
              <w:rPr>
                <w:rFonts w:hint="default" w:ascii="黑体" w:hAnsi="黑体" w:eastAsia="黑体" w:cs="黑体"/>
                <w:i w:val="0"/>
                <w:iCs w:val="0"/>
                <w:color w:val="000000"/>
                <w:sz w:val="18"/>
                <w:szCs w:val="18"/>
                <w:u w:val="none"/>
                <w:lang w:val="en-US"/>
              </w:rPr>
            </w:pPr>
            <w:r>
              <w:rPr>
                <w:rFonts w:hint="eastAsia" w:ascii="黑体" w:hAnsi="黑体" w:eastAsia="黑体" w:cs="黑体"/>
                <w:i w:val="0"/>
                <w:iCs w:val="0"/>
                <w:color w:val="000000"/>
                <w:kern w:val="0"/>
                <w:sz w:val="18"/>
                <w:szCs w:val="18"/>
                <w:u w:val="none"/>
                <w:lang w:val="en-US" w:eastAsia="zh-CN" w:bidi="ar"/>
              </w:rPr>
              <w:t>项目负责人：王安然</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116DDFC">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66E00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6DAF23D4">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57E75F1C">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605B23EF">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5087F00E">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39783098">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7D1FFD46">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2E4EF808">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6A2FCB30">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243D9E35">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1259CC27">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760F424A">
            <w:pPr>
              <w:snapToGrid w:val="0"/>
              <w:rPr>
                <w:rFonts w:hint="eastAsia" w:ascii="宋体" w:hAnsi="宋体" w:eastAsia="宋体" w:cs="宋体"/>
                <w:i w:val="0"/>
                <w:iCs w:val="0"/>
                <w:color w:val="000000"/>
                <w:sz w:val="18"/>
                <w:szCs w:val="18"/>
                <w:u w:val="none"/>
              </w:rPr>
            </w:pPr>
          </w:p>
        </w:tc>
      </w:tr>
      <w:tr w14:paraId="55E4F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2E789FA9">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5847E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35E67E">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AE37886">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51340024R000010193215-州本级其他人员类支出（事业）</w:t>
            </w:r>
          </w:p>
        </w:tc>
      </w:tr>
      <w:tr w14:paraId="21DC5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25A608">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420AD06">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2B3478F3">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BD836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24CDB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DB4E23">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5D4357">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00B931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5157A15">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04EE1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D556A1">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5CEAC3">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7A82083">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严格执行相关政策，保障工资及时、足额发放或社保及时、足额缴纳，预算编制科学合理，减少结余资金。</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0F86E5F">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及时、足额发放。</w:t>
            </w:r>
          </w:p>
        </w:tc>
      </w:tr>
      <w:tr w14:paraId="2B9ED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4E2E04">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47EA8">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DF0D813">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发放驻村人员生活补助、驻村津贴等。</w:t>
            </w:r>
          </w:p>
        </w:tc>
      </w:tr>
      <w:tr w14:paraId="59587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4DFE9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20FA6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7BE6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7FF5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8166E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29EC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7464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DE28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ED43F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50655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A89FDB">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0E5C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8526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12.77</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D78E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20.67</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E62A6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20.67</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C125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C3BD3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69592D">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49BB4B">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驻村人员补贴、补助发放。</w:t>
            </w:r>
          </w:p>
        </w:tc>
      </w:tr>
      <w:tr w14:paraId="23D0F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78BBFD">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8F2F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8EB9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12.77</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56823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20.67</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E6643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20.67</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FAEA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8A272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47631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6A3CC">
            <w:pPr>
              <w:snapToGrid w:val="0"/>
              <w:rPr>
                <w:rFonts w:hint="eastAsia" w:ascii="黑体" w:hAnsi="黑体" w:eastAsia="黑体" w:cs="黑体"/>
                <w:i/>
                <w:iCs/>
                <w:color w:val="000000"/>
                <w:sz w:val="18"/>
                <w:szCs w:val="18"/>
                <w:u w:val="none"/>
              </w:rPr>
            </w:pPr>
          </w:p>
        </w:tc>
      </w:tr>
      <w:tr w14:paraId="5D1B3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93F86">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33AE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6CAE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5D1DB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35683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3780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6364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D685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C33606">
            <w:pPr>
              <w:snapToGrid w:val="0"/>
              <w:rPr>
                <w:rFonts w:hint="eastAsia" w:ascii="黑体" w:hAnsi="黑体" w:eastAsia="黑体" w:cs="黑体"/>
                <w:i/>
                <w:iCs/>
                <w:color w:val="000000"/>
                <w:sz w:val="18"/>
                <w:szCs w:val="18"/>
                <w:u w:val="none"/>
              </w:rPr>
            </w:pPr>
          </w:p>
        </w:tc>
      </w:tr>
      <w:tr w14:paraId="43E54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B246DD">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BBBA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23AB5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50CA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8A20E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E2F0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18D2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E547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0C2EA8">
            <w:pPr>
              <w:snapToGrid w:val="0"/>
              <w:rPr>
                <w:rFonts w:hint="eastAsia" w:ascii="黑体" w:hAnsi="黑体" w:eastAsia="黑体" w:cs="黑体"/>
                <w:i/>
                <w:iCs/>
                <w:color w:val="000000"/>
                <w:sz w:val="18"/>
                <w:szCs w:val="18"/>
                <w:u w:val="none"/>
              </w:rPr>
            </w:pPr>
          </w:p>
        </w:tc>
      </w:tr>
      <w:tr w14:paraId="6AEC3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1A77A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8E7A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13F24">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52445F">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5EE117">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93A55">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6694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24AF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93F5FD">
            <w:pPr>
              <w:snapToGrid w:val="0"/>
              <w:rPr>
                <w:rFonts w:hint="eastAsia" w:ascii="黑体" w:hAnsi="黑体" w:eastAsia="黑体" w:cs="黑体"/>
                <w:i/>
                <w:iCs/>
                <w:color w:val="000000"/>
                <w:sz w:val="18"/>
                <w:szCs w:val="18"/>
                <w:u w:val="none"/>
              </w:rPr>
            </w:pPr>
          </w:p>
        </w:tc>
      </w:tr>
      <w:tr w14:paraId="7C9C5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9D831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9303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0334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4CC8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3DA6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C995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5025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1CA0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E2643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7188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5A9F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0004E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1B0FE6">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D4EE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D5A8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36D2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发放（缴纳）覆盖率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0E55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62342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C3C7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6B478">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DB35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BC25DD">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C9A563">
            <w:pPr>
              <w:snapToGrid w:val="0"/>
              <w:jc w:val="center"/>
              <w:rPr>
                <w:rFonts w:hint="eastAsia" w:ascii="微软雅黑" w:hAnsi="微软雅黑" w:eastAsia="微软雅黑" w:cs="微软雅黑"/>
                <w:i/>
                <w:iCs/>
                <w:color w:val="000000"/>
                <w:sz w:val="16"/>
                <w:szCs w:val="16"/>
                <w:u w:val="none"/>
              </w:rPr>
            </w:pPr>
          </w:p>
        </w:tc>
      </w:tr>
      <w:tr w14:paraId="1D0D4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07A9FD">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F7B0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33252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5768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足额保障率（参保率）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6387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BD8C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2A48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8264D1">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8853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866A3">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E0F6CD">
            <w:pPr>
              <w:snapToGrid w:val="0"/>
              <w:jc w:val="center"/>
              <w:rPr>
                <w:rFonts w:hint="eastAsia" w:ascii="微软雅黑" w:hAnsi="微软雅黑" w:eastAsia="微软雅黑" w:cs="微软雅黑"/>
                <w:i/>
                <w:iCs/>
                <w:color w:val="000000"/>
                <w:sz w:val="16"/>
                <w:szCs w:val="16"/>
                <w:u w:val="none"/>
              </w:rPr>
            </w:pPr>
          </w:p>
        </w:tc>
      </w:tr>
      <w:tr w14:paraId="06272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FF6AB0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8CAC0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A71F18">
            <w:pPr>
              <w:snapToGrid w:val="0"/>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745C3">
            <w:pPr>
              <w:snapToGrid w:val="0"/>
              <w:rPr>
                <w:rFonts w:hint="eastAsia" w:ascii="宋体" w:hAnsi="宋体" w:eastAsia="宋体" w:cs="宋体"/>
                <w:i w:val="0"/>
                <w:iCs w:val="0"/>
                <w:color w:val="000000"/>
                <w:sz w:val="18"/>
                <w:szCs w:val="18"/>
                <w:u w:val="none"/>
              </w:rPr>
            </w:pPr>
          </w:p>
        </w:tc>
      </w:tr>
      <w:tr w14:paraId="65283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505C3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E06629E">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及时发放驻村人员补助、补贴等，保障驻村人员生活开支。</w:t>
            </w:r>
          </w:p>
        </w:tc>
      </w:tr>
      <w:tr w14:paraId="68523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F5276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9486F1C">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2B823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BE75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74B48E8">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3F8D0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8C6434E">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项目负责人：李箬晗</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C9F9652">
            <w:pPr>
              <w:keepNext w:val="0"/>
              <w:keepLines w:val="0"/>
              <w:widowControl/>
              <w:suppressLineNumbers w:val="0"/>
              <w:snapToGrid w:val="0"/>
              <w:jc w:val="left"/>
              <w:textAlignment w:val="center"/>
              <w:rPr>
                <w:rFonts w:hint="default" w:ascii="黑体" w:hAnsi="黑体" w:eastAsia="黑体" w:cs="黑体"/>
                <w:i w:val="0"/>
                <w:iCs w:val="0"/>
                <w:color w:val="000000"/>
                <w:sz w:val="18"/>
                <w:szCs w:val="18"/>
                <w:u w:val="none"/>
                <w:lang w:val="en-US"/>
              </w:rPr>
            </w:pPr>
            <w:r>
              <w:rPr>
                <w:rFonts w:hint="eastAsia" w:ascii="黑体" w:hAnsi="黑体" w:eastAsia="黑体" w:cs="黑体"/>
                <w:i w:val="0"/>
                <w:iCs w:val="0"/>
                <w:color w:val="000000"/>
                <w:kern w:val="0"/>
                <w:sz w:val="18"/>
                <w:szCs w:val="18"/>
                <w:u w:val="none"/>
                <w:lang w:val="en-US" w:eastAsia="zh-CN" w:bidi="ar"/>
              </w:rPr>
              <w:t>财务负责人：李箬晗</w:t>
            </w:r>
          </w:p>
        </w:tc>
      </w:tr>
      <w:tr w14:paraId="37024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4FDD585C">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2F66D5DD">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4CA496C7">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46F22BB7">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21E8A470">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36DAA71C">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28458C5B">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1EF922DD">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7F30468D">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02BBB17D">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54DE11C6">
            <w:pPr>
              <w:snapToGrid w:val="0"/>
              <w:rPr>
                <w:rFonts w:hint="eastAsia" w:ascii="宋体" w:hAnsi="宋体" w:eastAsia="宋体" w:cs="宋体"/>
                <w:i w:val="0"/>
                <w:iCs w:val="0"/>
                <w:color w:val="000000"/>
                <w:sz w:val="18"/>
                <w:szCs w:val="18"/>
                <w:u w:val="none"/>
              </w:rPr>
            </w:pPr>
          </w:p>
        </w:tc>
      </w:tr>
      <w:tr w14:paraId="39492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37237058">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4452E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E02CD2">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B87AB9C">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51340024R000010721454-州本级其他工资及附加支出（事业）</w:t>
            </w:r>
          </w:p>
        </w:tc>
      </w:tr>
      <w:tr w14:paraId="03A1B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24AE5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0D1AF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311AB318">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DC4CD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2B382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BDADBB">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C6FA1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3A893C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912A1FB">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6D234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3FAC35">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D7A1AD">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C7DBDFB">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严格执行相关政策，保障工资及时、足额发放或社保及时、足额缴纳，预算编制科学合理，减少结余资金。</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C1030D1">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严格执行相关政策，保障工资及时、足额发放或社保及时、足额缴纳，预算编制科学合理，减少结余资金。</w:t>
            </w:r>
          </w:p>
        </w:tc>
      </w:tr>
      <w:tr w14:paraId="435D0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46C512">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78CE8">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2C7FA2B">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社保及时、足额缴纳。</w:t>
            </w:r>
          </w:p>
        </w:tc>
      </w:tr>
      <w:tr w14:paraId="0F2CA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54987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F642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7DF43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6131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0F72B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F51E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597C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FD79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6B301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26E31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ABD31C">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6F12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6FD1C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43.76</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FCFDE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47.88</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9311B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47.88</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C515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21E7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45FED">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69619B">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2024年新进15人，正常调增。</w:t>
            </w:r>
          </w:p>
        </w:tc>
      </w:tr>
      <w:tr w14:paraId="58E3B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C98A49">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3CEB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E889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43.76</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DC2D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47.88</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268D2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47.88</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4B0DE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ECB9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3313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D4C6FE">
            <w:pPr>
              <w:snapToGrid w:val="0"/>
              <w:rPr>
                <w:rFonts w:hint="eastAsia" w:ascii="黑体" w:hAnsi="黑体" w:eastAsia="黑体" w:cs="黑体"/>
                <w:i/>
                <w:iCs/>
                <w:color w:val="000000"/>
                <w:sz w:val="18"/>
                <w:szCs w:val="18"/>
                <w:u w:val="none"/>
              </w:rPr>
            </w:pPr>
          </w:p>
        </w:tc>
      </w:tr>
      <w:tr w14:paraId="3E836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080DDF">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25B5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94D9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FD27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47CEA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42F7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1C70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A1B8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DE57CC">
            <w:pPr>
              <w:snapToGrid w:val="0"/>
              <w:rPr>
                <w:rFonts w:hint="eastAsia" w:ascii="黑体" w:hAnsi="黑体" w:eastAsia="黑体" w:cs="黑体"/>
                <w:i/>
                <w:iCs/>
                <w:color w:val="000000"/>
                <w:sz w:val="18"/>
                <w:szCs w:val="18"/>
                <w:u w:val="none"/>
              </w:rPr>
            </w:pPr>
          </w:p>
        </w:tc>
      </w:tr>
      <w:tr w14:paraId="7C11B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60E13A">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343FD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BF420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1ED75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E5AA2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7FB3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5B4D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0CA8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9F503">
            <w:pPr>
              <w:snapToGrid w:val="0"/>
              <w:rPr>
                <w:rFonts w:hint="eastAsia" w:ascii="黑体" w:hAnsi="黑体" w:eastAsia="黑体" w:cs="黑体"/>
                <w:i/>
                <w:iCs/>
                <w:color w:val="000000"/>
                <w:sz w:val="18"/>
                <w:szCs w:val="18"/>
                <w:u w:val="none"/>
              </w:rPr>
            </w:pPr>
          </w:p>
        </w:tc>
      </w:tr>
      <w:tr w14:paraId="682BB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607374">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902E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0A7F1">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F1FCE">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B5CC7F">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E366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CBBE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BA4AA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908ABD">
            <w:pPr>
              <w:snapToGrid w:val="0"/>
              <w:rPr>
                <w:rFonts w:hint="eastAsia" w:ascii="黑体" w:hAnsi="黑体" w:eastAsia="黑体" w:cs="黑体"/>
                <w:i/>
                <w:iCs/>
                <w:color w:val="000000"/>
                <w:sz w:val="18"/>
                <w:szCs w:val="18"/>
                <w:u w:val="none"/>
              </w:rPr>
            </w:pPr>
          </w:p>
        </w:tc>
      </w:tr>
      <w:tr w14:paraId="73A17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F48C5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73C9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DBC4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030AB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B135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F75B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180EC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BCFB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4678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60A55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A74A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62BAC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B9B20D">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544D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9F37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5C16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发放（缴纳）覆盖率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68E2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C758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240D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C0AD5D">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AEC2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BD2E6">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17866">
            <w:pPr>
              <w:snapToGrid w:val="0"/>
              <w:jc w:val="center"/>
              <w:rPr>
                <w:rFonts w:hint="eastAsia" w:ascii="微软雅黑" w:hAnsi="微软雅黑" w:eastAsia="微软雅黑" w:cs="微软雅黑"/>
                <w:i/>
                <w:iCs/>
                <w:color w:val="000000"/>
                <w:sz w:val="16"/>
                <w:szCs w:val="16"/>
                <w:u w:val="none"/>
              </w:rPr>
            </w:pPr>
          </w:p>
        </w:tc>
      </w:tr>
      <w:tr w14:paraId="5616B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F8C2E8">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6C5AF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4DB3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5508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足额保障率（参保率）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6D5A1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63A08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DE1A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23B32">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DC2B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74336">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A944F">
            <w:pPr>
              <w:snapToGrid w:val="0"/>
              <w:jc w:val="center"/>
              <w:rPr>
                <w:rFonts w:hint="eastAsia" w:ascii="微软雅黑" w:hAnsi="微软雅黑" w:eastAsia="微软雅黑" w:cs="微软雅黑"/>
                <w:i/>
                <w:iCs/>
                <w:color w:val="000000"/>
                <w:sz w:val="16"/>
                <w:szCs w:val="16"/>
                <w:u w:val="none"/>
              </w:rPr>
            </w:pPr>
          </w:p>
        </w:tc>
      </w:tr>
      <w:tr w14:paraId="62AD9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6CA350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022B9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DA8C4">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5C67B">
            <w:pPr>
              <w:snapToGrid w:val="0"/>
              <w:rPr>
                <w:rFonts w:hint="eastAsia" w:ascii="宋体" w:hAnsi="宋体" w:eastAsia="宋体" w:cs="宋体"/>
                <w:i w:val="0"/>
                <w:iCs w:val="0"/>
                <w:color w:val="000000"/>
                <w:sz w:val="18"/>
                <w:szCs w:val="18"/>
                <w:u w:val="none"/>
              </w:rPr>
            </w:pPr>
          </w:p>
        </w:tc>
      </w:tr>
      <w:tr w14:paraId="5A8B3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CAD7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C3EF081">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社保及时、足额缴纳。</w:t>
            </w:r>
          </w:p>
        </w:tc>
      </w:tr>
      <w:tr w14:paraId="0094B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D896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B567880">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5E15E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9CA0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F9E9545">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71A1D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F449359">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项目负责人：朱艳</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C3FCC70">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75870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79353592">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0F0CE26B">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3410CF70">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5BFD79F1">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53844FE0">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587682D6">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7334674E">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3BB300BA">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6CC66414">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4DBB7A9E">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32E852B0">
            <w:pPr>
              <w:snapToGrid w:val="0"/>
              <w:rPr>
                <w:rFonts w:hint="eastAsia" w:ascii="宋体" w:hAnsi="宋体" w:eastAsia="宋体" w:cs="宋体"/>
                <w:i w:val="0"/>
                <w:iCs w:val="0"/>
                <w:color w:val="000000"/>
                <w:sz w:val="18"/>
                <w:szCs w:val="18"/>
                <w:u w:val="none"/>
              </w:rPr>
            </w:pPr>
          </w:p>
        </w:tc>
      </w:tr>
      <w:tr w14:paraId="09FA0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2D68C340">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04EDD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291A2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A043347">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51340024R000010721470-州本级离退休（职）人员经费（事业）</w:t>
            </w:r>
          </w:p>
        </w:tc>
      </w:tr>
      <w:tr w14:paraId="065B2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65ABF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4B37CB">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27DAF1A4">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459EE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2B0D3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AE61EB">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BBE798">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75D9C6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5C9754F">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65019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A51CDD">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A0095F">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0FB748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严格执行相关政策，保障工资及时、足额发放或社保及时、足额缴纳，预算编制科学合理，减少结余资金。</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031095C">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严格执行相关政策，按时发放退休人员生活补助。</w:t>
            </w:r>
          </w:p>
        </w:tc>
      </w:tr>
      <w:tr w14:paraId="3D557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9CBF76">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C7A29">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32153F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按时发放退休人员一次性生活补助、缴纳医疗保险。</w:t>
            </w:r>
          </w:p>
        </w:tc>
      </w:tr>
      <w:tr w14:paraId="3C4C2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CAE36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CAAA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A826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4F0A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A10E0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2D3D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6AE1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411B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D67CD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3F89E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526EF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BFE0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0553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40.54</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099C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62.83</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DF02C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62.83</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B341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56F5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A24017">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4BED99">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2024年新增退休8人。</w:t>
            </w:r>
          </w:p>
        </w:tc>
      </w:tr>
      <w:tr w14:paraId="327D7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30BAA7">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AECF9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B76FD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40.54</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4196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62.83</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002AD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62.83</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6D65F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EFDF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4FCB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101C6E">
            <w:pPr>
              <w:snapToGrid w:val="0"/>
              <w:rPr>
                <w:rFonts w:hint="eastAsia" w:ascii="黑体" w:hAnsi="黑体" w:eastAsia="黑体" w:cs="黑体"/>
                <w:i/>
                <w:iCs/>
                <w:color w:val="000000"/>
                <w:sz w:val="18"/>
                <w:szCs w:val="18"/>
                <w:u w:val="none"/>
              </w:rPr>
            </w:pPr>
          </w:p>
        </w:tc>
      </w:tr>
      <w:tr w14:paraId="18193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5DE7C8">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8B9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B3D0C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8688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DD715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FA3AC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2766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50AF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2352FC">
            <w:pPr>
              <w:snapToGrid w:val="0"/>
              <w:rPr>
                <w:rFonts w:hint="eastAsia" w:ascii="黑体" w:hAnsi="黑体" w:eastAsia="黑体" w:cs="黑体"/>
                <w:i/>
                <w:iCs/>
                <w:color w:val="000000"/>
                <w:sz w:val="18"/>
                <w:szCs w:val="18"/>
                <w:u w:val="none"/>
              </w:rPr>
            </w:pPr>
          </w:p>
        </w:tc>
      </w:tr>
      <w:tr w14:paraId="55FF4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036B6">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AE364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DBA1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E9CB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768A3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FD16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1626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D18EE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0979FF">
            <w:pPr>
              <w:snapToGrid w:val="0"/>
              <w:rPr>
                <w:rFonts w:hint="eastAsia" w:ascii="黑体" w:hAnsi="黑体" w:eastAsia="黑体" w:cs="黑体"/>
                <w:i/>
                <w:iCs/>
                <w:color w:val="000000"/>
                <w:sz w:val="18"/>
                <w:szCs w:val="18"/>
                <w:u w:val="none"/>
              </w:rPr>
            </w:pPr>
          </w:p>
        </w:tc>
      </w:tr>
      <w:tr w14:paraId="17AF8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1577EA">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358C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AAAEB">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FD36DC">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7E91A9">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9C96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5555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F149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1F7D19">
            <w:pPr>
              <w:snapToGrid w:val="0"/>
              <w:rPr>
                <w:rFonts w:hint="eastAsia" w:ascii="黑体" w:hAnsi="黑体" w:eastAsia="黑体" w:cs="黑体"/>
                <w:i/>
                <w:iCs/>
                <w:color w:val="000000"/>
                <w:sz w:val="18"/>
                <w:szCs w:val="18"/>
                <w:u w:val="none"/>
              </w:rPr>
            </w:pPr>
          </w:p>
        </w:tc>
      </w:tr>
      <w:tr w14:paraId="1A6B2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A9427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70CA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429C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6334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7EEB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C231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0BF2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EAF9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81292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5CF8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9C60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76155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BF617B">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08F0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E1A3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E4C03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发放（缴纳）覆盖率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1939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207F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F042B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C1178">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453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60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4EA7B">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09366">
            <w:pPr>
              <w:snapToGrid w:val="0"/>
              <w:jc w:val="center"/>
              <w:rPr>
                <w:rFonts w:hint="eastAsia" w:ascii="微软雅黑" w:hAnsi="微软雅黑" w:eastAsia="微软雅黑" w:cs="微软雅黑"/>
                <w:i/>
                <w:iCs/>
                <w:color w:val="000000"/>
                <w:sz w:val="16"/>
                <w:szCs w:val="16"/>
                <w:u w:val="none"/>
              </w:rPr>
            </w:pPr>
          </w:p>
        </w:tc>
      </w:tr>
      <w:tr w14:paraId="4935A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A4FD5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527AE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0A907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9B54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足额保障率（参保率）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BDC7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0A26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4083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4161F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3E4FC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ABA18">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3328A">
            <w:pPr>
              <w:snapToGrid w:val="0"/>
              <w:jc w:val="center"/>
              <w:rPr>
                <w:rFonts w:hint="eastAsia" w:ascii="微软雅黑" w:hAnsi="微软雅黑" w:eastAsia="微软雅黑" w:cs="微软雅黑"/>
                <w:i/>
                <w:iCs/>
                <w:color w:val="000000"/>
                <w:sz w:val="16"/>
                <w:szCs w:val="16"/>
                <w:u w:val="none"/>
              </w:rPr>
            </w:pPr>
          </w:p>
        </w:tc>
      </w:tr>
      <w:tr w14:paraId="14FA5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5AE82D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B652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D94EA">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85F6A">
            <w:pPr>
              <w:snapToGrid w:val="0"/>
              <w:rPr>
                <w:rFonts w:hint="eastAsia" w:ascii="宋体" w:hAnsi="宋体" w:eastAsia="宋体" w:cs="宋体"/>
                <w:i w:val="0"/>
                <w:iCs w:val="0"/>
                <w:color w:val="000000"/>
                <w:sz w:val="18"/>
                <w:szCs w:val="18"/>
                <w:u w:val="none"/>
              </w:rPr>
            </w:pPr>
          </w:p>
        </w:tc>
      </w:tr>
      <w:tr w14:paraId="3B9AB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21EA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76182F2">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退休职工医疗保障。</w:t>
            </w:r>
          </w:p>
        </w:tc>
      </w:tr>
      <w:tr w14:paraId="609D9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6C07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46C1986">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52388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071E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035A121">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5F856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AEAE677">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项目负责人：朱艳</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A278167">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17D89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71CAA8E4">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3B930706">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4B5C7296">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02E96065">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4180B347">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54CCED4B">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6EF00AF1">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5A6150AB">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78A53C50">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0B5C88F6">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55FE4B5F">
            <w:pPr>
              <w:snapToGrid w:val="0"/>
              <w:rPr>
                <w:rFonts w:hint="eastAsia" w:ascii="宋体" w:hAnsi="宋体" w:eastAsia="宋体" w:cs="宋体"/>
                <w:i w:val="0"/>
                <w:iCs w:val="0"/>
                <w:color w:val="000000"/>
                <w:sz w:val="18"/>
                <w:szCs w:val="18"/>
                <w:u w:val="none"/>
              </w:rPr>
            </w:pPr>
          </w:p>
        </w:tc>
      </w:tr>
      <w:tr w14:paraId="57412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33ADDC96">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042D3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161C3A">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F09B109">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51340024T000010516965-公务用车购置经费（FS）</w:t>
            </w:r>
          </w:p>
        </w:tc>
      </w:tr>
      <w:tr w14:paraId="2EAAA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B345F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3AB9D6">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69AB944A">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66D6D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3340A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72D9FE">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9455F2">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6B285C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D580EC">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3F504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9DEDA8">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AA1888">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9CF0C8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项目所购置的车辆能够保障日常公务出行，车辆质量合格，确保乘车人及其他行人交通安全。</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27A2CE2">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保障日常公务出行，车辆质量合格，确保乘车人及其他行人交通安全。</w:t>
            </w:r>
          </w:p>
        </w:tc>
      </w:tr>
      <w:tr w14:paraId="1081B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A5D176">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8307C">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432AEAA">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购买公务用车一辆。</w:t>
            </w:r>
          </w:p>
        </w:tc>
      </w:tr>
      <w:tr w14:paraId="4C69F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8A1BD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212A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AC2D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499F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CD6D5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2999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56602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F4FAE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E8AF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15B0F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061128">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3653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E451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25.00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D11A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24.70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F655A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24.70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1AC2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8DFE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78811">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00EADC">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购买公务用车一辆。</w:t>
            </w:r>
          </w:p>
        </w:tc>
      </w:tr>
      <w:tr w14:paraId="349DE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157F1D">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34EF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325A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796B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EB5C7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099A4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EBAD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EE17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D683DA">
            <w:pPr>
              <w:snapToGrid w:val="0"/>
              <w:rPr>
                <w:rFonts w:hint="eastAsia" w:ascii="黑体" w:hAnsi="黑体" w:eastAsia="黑体" w:cs="黑体"/>
                <w:i/>
                <w:iCs/>
                <w:color w:val="000000"/>
                <w:sz w:val="18"/>
                <w:szCs w:val="18"/>
                <w:u w:val="none"/>
              </w:rPr>
            </w:pPr>
          </w:p>
        </w:tc>
      </w:tr>
      <w:tr w14:paraId="1AB6A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83B9A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184A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B5D55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33CB5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00C28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4868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2671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C5C3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7FABB5">
            <w:pPr>
              <w:snapToGrid w:val="0"/>
              <w:rPr>
                <w:rFonts w:hint="eastAsia" w:ascii="黑体" w:hAnsi="黑体" w:eastAsia="黑体" w:cs="黑体"/>
                <w:i/>
                <w:iCs/>
                <w:color w:val="000000"/>
                <w:sz w:val="18"/>
                <w:szCs w:val="18"/>
                <w:u w:val="none"/>
              </w:rPr>
            </w:pPr>
          </w:p>
        </w:tc>
      </w:tr>
      <w:tr w14:paraId="4DDC8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2FCAD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99DF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CC2D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25.00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151E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24.70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4FBCF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24.70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C9C0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EA936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4CF1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B199DA">
            <w:pPr>
              <w:snapToGrid w:val="0"/>
              <w:rPr>
                <w:rFonts w:hint="eastAsia" w:ascii="黑体" w:hAnsi="黑体" w:eastAsia="黑体" w:cs="黑体"/>
                <w:i/>
                <w:iCs/>
                <w:color w:val="000000"/>
                <w:sz w:val="18"/>
                <w:szCs w:val="18"/>
                <w:u w:val="none"/>
              </w:rPr>
            </w:pPr>
          </w:p>
        </w:tc>
      </w:tr>
      <w:tr w14:paraId="36EE6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A43CDD">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5309A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E9FD8">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3CF4DA">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8BFAB8">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B190B">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06D2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AEA4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1A501A">
            <w:pPr>
              <w:snapToGrid w:val="0"/>
              <w:rPr>
                <w:rFonts w:hint="eastAsia" w:ascii="黑体" w:hAnsi="黑体" w:eastAsia="黑体" w:cs="黑体"/>
                <w:i/>
                <w:iCs/>
                <w:color w:val="000000"/>
                <w:sz w:val="18"/>
                <w:szCs w:val="18"/>
                <w:u w:val="none"/>
              </w:rPr>
            </w:pPr>
          </w:p>
        </w:tc>
      </w:tr>
      <w:tr w14:paraId="10862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50261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5216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29E8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C81B7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5F21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47F18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8029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CB8A0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28AC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45EDC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AD6F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630FE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D1A780">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23DB8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D59C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12B8C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新购置公务用车数量</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42B3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6304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238B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辆</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879F5">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93E8E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64783">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F29E7">
            <w:pPr>
              <w:snapToGrid w:val="0"/>
              <w:jc w:val="center"/>
              <w:rPr>
                <w:rFonts w:hint="eastAsia" w:ascii="微软雅黑" w:hAnsi="微软雅黑" w:eastAsia="微软雅黑" w:cs="微软雅黑"/>
                <w:i/>
                <w:iCs/>
                <w:color w:val="000000"/>
                <w:sz w:val="16"/>
                <w:szCs w:val="16"/>
                <w:u w:val="none"/>
              </w:rPr>
            </w:pPr>
          </w:p>
        </w:tc>
      </w:tr>
      <w:tr w14:paraId="19E08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3E55A8">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BD30FA">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8B823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48C57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采购公车质量合格率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B406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3697E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96B3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434C5">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D6F4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8D46A">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A504A">
            <w:pPr>
              <w:snapToGrid w:val="0"/>
              <w:jc w:val="center"/>
              <w:rPr>
                <w:rFonts w:hint="eastAsia" w:ascii="微软雅黑" w:hAnsi="微软雅黑" w:eastAsia="微软雅黑" w:cs="微软雅黑"/>
                <w:i/>
                <w:iCs/>
                <w:color w:val="000000"/>
                <w:sz w:val="16"/>
                <w:szCs w:val="16"/>
                <w:u w:val="none"/>
              </w:rPr>
            </w:pPr>
          </w:p>
        </w:tc>
      </w:tr>
      <w:tr w14:paraId="6373C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E7802F">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CA035C">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F0E5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17CB9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采购完成时间</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4946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359E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2024</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78C5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A9C51">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D44E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EF4AB">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F80B34">
            <w:pPr>
              <w:snapToGrid w:val="0"/>
              <w:jc w:val="center"/>
              <w:rPr>
                <w:rFonts w:hint="eastAsia" w:ascii="微软雅黑" w:hAnsi="微软雅黑" w:eastAsia="微软雅黑" w:cs="微软雅黑"/>
                <w:i/>
                <w:iCs/>
                <w:color w:val="000000"/>
                <w:sz w:val="16"/>
                <w:szCs w:val="16"/>
                <w:u w:val="none"/>
              </w:rPr>
            </w:pPr>
          </w:p>
        </w:tc>
      </w:tr>
      <w:tr w14:paraId="05691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C5BBA8">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0DC72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2DF9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49D8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日常确保教师用车</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0BDE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5A2E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长期</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0F9F0">
            <w:pPr>
              <w:snapToGrid w:val="0"/>
              <w:jc w:val="center"/>
              <w:rPr>
                <w:rFonts w:hint="eastAsia" w:ascii="宋体" w:hAnsi="宋体" w:eastAsia="宋体" w:cs="宋体"/>
                <w:i w:val="0"/>
                <w:iCs w:val="0"/>
                <w:color w:val="000000"/>
                <w:sz w:val="18"/>
                <w:szCs w:val="18"/>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28A05">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E4D4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5A3BB">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C1926">
            <w:pPr>
              <w:snapToGrid w:val="0"/>
              <w:jc w:val="center"/>
              <w:rPr>
                <w:rFonts w:hint="eastAsia" w:ascii="微软雅黑" w:hAnsi="微软雅黑" w:eastAsia="微软雅黑" w:cs="微软雅黑"/>
                <w:i/>
                <w:iCs/>
                <w:color w:val="000000"/>
                <w:sz w:val="16"/>
                <w:szCs w:val="16"/>
                <w:u w:val="none"/>
              </w:rPr>
            </w:pPr>
          </w:p>
        </w:tc>
      </w:tr>
      <w:tr w14:paraId="41028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2BEFAF">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42E992">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C3EC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可持续影响指标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C701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按规定用车、及时派车</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2A4F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9092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8</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A4FB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AB127B">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43B9B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5946B">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EF309">
            <w:pPr>
              <w:snapToGrid w:val="0"/>
              <w:jc w:val="center"/>
              <w:rPr>
                <w:rFonts w:hint="eastAsia" w:ascii="微软雅黑" w:hAnsi="微软雅黑" w:eastAsia="微软雅黑" w:cs="微软雅黑"/>
                <w:i/>
                <w:iCs/>
                <w:color w:val="000000"/>
                <w:sz w:val="16"/>
                <w:szCs w:val="16"/>
                <w:u w:val="none"/>
              </w:rPr>
            </w:pPr>
          </w:p>
        </w:tc>
      </w:tr>
      <w:tr w14:paraId="3F821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65CB93">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3CD7E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6E45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90AD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教师满意度</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1F14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D333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24BF1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5BE5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6E280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D4D09">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652D4">
            <w:pPr>
              <w:snapToGrid w:val="0"/>
              <w:jc w:val="center"/>
              <w:rPr>
                <w:rFonts w:hint="eastAsia" w:ascii="微软雅黑" w:hAnsi="微软雅黑" w:eastAsia="微软雅黑" w:cs="微软雅黑"/>
                <w:i/>
                <w:iCs/>
                <w:color w:val="000000"/>
                <w:sz w:val="16"/>
                <w:szCs w:val="16"/>
                <w:u w:val="none"/>
              </w:rPr>
            </w:pPr>
          </w:p>
        </w:tc>
      </w:tr>
      <w:tr w14:paraId="39C59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6E8401">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6637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成本指标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A2B4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经济成本指标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3E4D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公车采购成本</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68FD3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83D8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799B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77457D">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DCED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3EC7E">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73FE0">
            <w:pPr>
              <w:snapToGrid w:val="0"/>
              <w:jc w:val="center"/>
              <w:rPr>
                <w:rFonts w:hint="eastAsia" w:ascii="微软雅黑" w:hAnsi="微软雅黑" w:eastAsia="微软雅黑" w:cs="微软雅黑"/>
                <w:i/>
                <w:iCs/>
                <w:color w:val="000000"/>
                <w:sz w:val="16"/>
                <w:szCs w:val="16"/>
                <w:u w:val="none"/>
              </w:rPr>
            </w:pPr>
          </w:p>
        </w:tc>
      </w:tr>
      <w:tr w14:paraId="7B5FF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44135A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A37D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C9E46">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B9E35">
            <w:pPr>
              <w:snapToGrid w:val="0"/>
              <w:rPr>
                <w:rFonts w:hint="eastAsia" w:ascii="宋体" w:hAnsi="宋体" w:eastAsia="宋体" w:cs="宋体"/>
                <w:i w:val="0"/>
                <w:iCs w:val="0"/>
                <w:color w:val="000000"/>
                <w:sz w:val="18"/>
                <w:szCs w:val="18"/>
                <w:u w:val="none"/>
              </w:rPr>
            </w:pPr>
          </w:p>
        </w:tc>
      </w:tr>
      <w:tr w14:paraId="7887C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9C64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128C62E">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保障日常公务出行，车辆质量合格，确保乘车人及其他行人交通安全。</w:t>
            </w:r>
          </w:p>
        </w:tc>
      </w:tr>
      <w:tr w14:paraId="7E486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3B2B1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228720D">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0BBEB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D75A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EE4A48B">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5A87F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5BB810">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项目负责人：赵祥</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6AF8227">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6AA58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2127B7E7">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1C6D3E4E">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512692FC">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7B223085">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7E44D5DC">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082D0EFB">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502680EE">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23CE285B">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51A3D963">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0A6C8CCA">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0617F7CC">
            <w:pPr>
              <w:snapToGrid w:val="0"/>
              <w:rPr>
                <w:rFonts w:hint="eastAsia" w:ascii="宋体" w:hAnsi="宋体" w:eastAsia="宋体" w:cs="宋体"/>
                <w:i w:val="0"/>
                <w:iCs w:val="0"/>
                <w:color w:val="000000"/>
                <w:sz w:val="18"/>
                <w:szCs w:val="18"/>
                <w:u w:val="none"/>
              </w:rPr>
            </w:pPr>
          </w:p>
        </w:tc>
      </w:tr>
      <w:tr w14:paraId="0762E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273AF811">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286BD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065AA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A150209">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51340024Y000010282596-州本级定额公用经费（事业）</w:t>
            </w:r>
          </w:p>
        </w:tc>
      </w:tr>
      <w:tr w14:paraId="60560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E52F8C">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5BCB8D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1CE30633">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CDE35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74C28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CB742E">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9536C6">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D8E8E5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C3FE442">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15A95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C1FFC8">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21269F">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54696A9">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提高预算编制质量，严格执行预算，保障单位日常运转。</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3E1DE32">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保障单位日常运转，提高预算编制质量，严格执行预算。</w:t>
            </w:r>
          </w:p>
        </w:tc>
      </w:tr>
      <w:tr w14:paraId="76445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33F297">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039B3">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AC353B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单位日常办公费、维修费、水电费和公务接待费等支出。</w:t>
            </w:r>
          </w:p>
        </w:tc>
      </w:tr>
      <w:tr w14:paraId="025C4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0C6E4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A8CA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93B9A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430D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BC34F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16D4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1851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A4E67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5838D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403E6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96AF5F">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6C9D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01BB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98.00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2F96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97.65</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A1068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97.65</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61BC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EEFD3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12D5E">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1A62CC">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单位日常运行费用。</w:t>
            </w:r>
          </w:p>
        </w:tc>
      </w:tr>
      <w:tr w14:paraId="065F2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2590FA">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DEA0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BFD0F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98.00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8DB1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97.65</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7AB67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97.65</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8B08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CC21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0CDA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333E10">
            <w:pPr>
              <w:snapToGrid w:val="0"/>
              <w:rPr>
                <w:rFonts w:hint="eastAsia" w:ascii="黑体" w:hAnsi="黑体" w:eastAsia="黑体" w:cs="黑体"/>
                <w:i/>
                <w:iCs/>
                <w:color w:val="000000"/>
                <w:sz w:val="18"/>
                <w:szCs w:val="18"/>
                <w:u w:val="none"/>
              </w:rPr>
            </w:pPr>
          </w:p>
        </w:tc>
      </w:tr>
      <w:tr w14:paraId="47C90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6572CD">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AAF7A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F86A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F846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D6948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95EFB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8353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A22B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B592C1">
            <w:pPr>
              <w:snapToGrid w:val="0"/>
              <w:rPr>
                <w:rFonts w:hint="eastAsia" w:ascii="黑体" w:hAnsi="黑体" w:eastAsia="黑体" w:cs="黑体"/>
                <w:i/>
                <w:iCs/>
                <w:color w:val="000000"/>
                <w:sz w:val="18"/>
                <w:szCs w:val="18"/>
                <w:u w:val="none"/>
              </w:rPr>
            </w:pPr>
          </w:p>
        </w:tc>
      </w:tr>
      <w:tr w14:paraId="3ABB5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74E829">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C1C10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9602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E7BA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472D6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D874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89FD1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C3F8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C4DC12">
            <w:pPr>
              <w:snapToGrid w:val="0"/>
              <w:rPr>
                <w:rFonts w:hint="eastAsia" w:ascii="黑体" w:hAnsi="黑体" w:eastAsia="黑体" w:cs="黑体"/>
                <w:i/>
                <w:iCs/>
                <w:color w:val="000000"/>
                <w:sz w:val="18"/>
                <w:szCs w:val="18"/>
                <w:u w:val="none"/>
              </w:rPr>
            </w:pPr>
          </w:p>
        </w:tc>
      </w:tr>
      <w:tr w14:paraId="380E3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BE6145">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5A57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543FA9">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B8CF6">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D1D788">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8AD702">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CF971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E52B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40F419">
            <w:pPr>
              <w:snapToGrid w:val="0"/>
              <w:rPr>
                <w:rFonts w:hint="eastAsia" w:ascii="黑体" w:hAnsi="黑体" w:eastAsia="黑体" w:cs="黑体"/>
                <w:i/>
                <w:iCs/>
                <w:color w:val="000000"/>
                <w:sz w:val="18"/>
                <w:szCs w:val="18"/>
                <w:u w:val="none"/>
              </w:rPr>
            </w:pPr>
          </w:p>
        </w:tc>
      </w:tr>
      <w:tr w14:paraId="42910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4C9AB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12225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DC39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4F760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27F1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B29D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9985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797E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51F00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3F69B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CC854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50F95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755C74">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94EF9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3E51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5737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科目调整次数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9C4A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DD2F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A84D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次</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ABE47">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AB91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F5430">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0BA4D">
            <w:pPr>
              <w:snapToGrid w:val="0"/>
              <w:jc w:val="center"/>
              <w:rPr>
                <w:rFonts w:hint="eastAsia" w:ascii="微软雅黑" w:hAnsi="微软雅黑" w:eastAsia="微软雅黑" w:cs="微软雅黑"/>
                <w:i/>
                <w:iCs/>
                <w:color w:val="000000"/>
                <w:sz w:val="16"/>
                <w:szCs w:val="16"/>
                <w:u w:val="none"/>
              </w:rPr>
            </w:pPr>
          </w:p>
        </w:tc>
      </w:tr>
      <w:tr w14:paraId="0C4FC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7DF1C0">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FFE2EC">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D8BB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0761C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预算编制准确率（计算方法为：∣（执行数-预算数）/预算数∣）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58EE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D49B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FD6F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4B75E">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8B23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471DE">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AD29BA">
            <w:pPr>
              <w:snapToGrid w:val="0"/>
              <w:jc w:val="center"/>
              <w:rPr>
                <w:rFonts w:hint="eastAsia" w:ascii="微软雅黑" w:hAnsi="微软雅黑" w:eastAsia="微软雅黑" w:cs="微软雅黑"/>
                <w:i/>
                <w:iCs/>
                <w:color w:val="000000"/>
                <w:sz w:val="16"/>
                <w:szCs w:val="16"/>
                <w:u w:val="none"/>
              </w:rPr>
            </w:pPr>
          </w:p>
        </w:tc>
      </w:tr>
      <w:tr w14:paraId="0A6C7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7A1551">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B0CD4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48B15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B976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“三公经费”控制率[计算方法为：（三公经费实际支出数/预算安排数]×100%）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63DD0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C7FD7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38ECB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C216B">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1065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AB346">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7A419">
            <w:pPr>
              <w:snapToGrid w:val="0"/>
              <w:jc w:val="center"/>
              <w:rPr>
                <w:rFonts w:hint="eastAsia" w:ascii="微软雅黑" w:hAnsi="微软雅黑" w:eastAsia="微软雅黑" w:cs="微软雅黑"/>
                <w:i/>
                <w:iCs/>
                <w:color w:val="000000"/>
                <w:sz w:val="16"/>
                <w:szCs w:val="16"/>
                <w:u w:val="none"/>
              </w:rPr>
            </w:pPr>
          </w:p>
        </w:tc>
      </w:tr>
      <w:tr w14:paraId="2FB17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462C5E">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1B6873">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D764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6DEC1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运转保障率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B7E0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DB1C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5509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88A2A">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B61CB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32EAD">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A5D86">
            <w:pPr>
              <w:snapToGrid w:val="0"/>
              <w:jc w:val="center"/>
              <w:rPr>
                <w:rFonts w:hint="eastAsia" w:ascii="微软雅黑" w:hAnsi="微软雅黑" w:eastAsia="微软雅黑" w:cs="微软雅黑"/>
                <w:i/>
                <w:iCs/>
                <w:color w:val="000000"/>
                <w:sz w:val="16"/>
                <w:szCs w:val="16"/>
                <w:u w:val="none"/>
              </w:rPr>
            </w:pPr>
          </w:p>
        </w:tc>
      </w:tr>
      <w:tr w14:paraId="25220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2A1937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6939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5BC562">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AD833">
            <w:pPr>
              <w:snapToGrid w:val="0"/>
              <w:rPr>
                <w:rFonts w:hint="eastAsia" w:ascii="宋体" w:hAnsi="宋体" w:eastAsia="宋体" w:cs="宋体"/>
                <w:i w:val="0"/>
                <w:iCs w:val="0"/>
                <w:color w:val="000000"/>
                <w:sz w:val="18"/>
                <w:szCs w:val="18"/>
                <w:u w:val="none"/>
              </w:rPr>
            </w:pPr>
          </w:p>
        </w:tc>
      </w:tr>
      <w:tr w14:paraId="7D810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53EF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DCC4813">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保障单位日常运转。</w:t>
            </w:r>
          </w:p>
        </w:tc>
      </w:tr>
      <w:tr w14:paraId="3F488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C2B4B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5F454BB">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73432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19DE4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A28F69A">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25A36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6E86859">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项目负责人：李箬晗</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3C52AD1">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49682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2C434863">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6F46BB5B">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12583514">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5E1A284B">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03BC4D36">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1D746F96">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46672B0A">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6DD35C98">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7A3BCD36">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00DE9E55">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0232B1BA">
            <w:pPr>
              <w:snapToGrid w:val="0"/>
              <w:rPr>
                <w:rFonts w:hint="eastAsia" w:ascii="宋体" w:hAnsi="宋体" w:eastAsia="宋体" w:cs="宋体"/>
                <w:i w:val="0"/>
                <w:iCs w:val="0"/>
                <w:color w:val="000000"/>
                <w:sz w:val="18"/>
                <w:szCs w:val="18"/>
                <w:u w:val="none"/>
              </w:rPr>
            </w:pPr>
          </w:p>
        </w:tc>
      </w:tr>
      <w:tr w14:paraId="5D5D5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65125FB">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6AD4D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9D8FF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FAD5B8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51340024Y000010283032-州本级公务用车运行维护费（事业）</w:t>
            </w:r>
          </w:p>
        </w:tc>
      </w:tr>
      <w:tr w14:paraId="13725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00A32E">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928671F">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690F2F45">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7A7C3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62E16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467EEC">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057069">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F7EDEF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D563265">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3C1D0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50E5D5">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88650F">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4EE44C">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提高预算编制质量，严格执行预算，保障单位日常运转。</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C49230F">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提高预算编制质量，严格执行预算，保障单位日常运转。</w:t>
            </w:r>
          </w:p>
        </w:tc>
      </w:tr>
      <w:tr w14:paraId="7CAD7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A7C024">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5E59E">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4A45C7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用于我校公务用车燃料费、维修费、过路过桥费、保险费等支出。</w:t>
            </w:r>
          </w:p>
        </w:tc>
      </w:tr>
      <w:tr w14:paraId="37D9A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9A5AB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147D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1C274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467B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EA409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34BB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6CEAF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76AF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400C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3473F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A16FCD">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E00E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252E4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19.40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BA0D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7.20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EB180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7.20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5F9E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326DE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8E9EE7">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2F96E1">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落实财政过紧日子要求，压缩三公经费</w:t>
            </w:r>
          </w:p>
        </w:tc>
      </w:tr>
      <w:tr w14:paraId="28AB7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D30972">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D4AC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B225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19.40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C866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7.20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F5B8C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7.20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0116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CECB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93CB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EF0A3B">
            <w:pPr>
              <w:snapToGrid w:val="0"/>
              <w:rPr>
                <w:rFonts w:hint="eastAsia" w:ascii="黑体" w:hAnsi="黑体" w:eastAsia="黑体" w:cs="黑体"/>
                <w:i/>
                <w:iCs/>
                <w:color w:val="000000"/>
                <w:sz w:val="18"/>
                <w:szCs w:val="18"/>
                <w:u w:val="none"/>
              </w:rPr>
            </w:pPr>
          </w:p>
        </w:tc>
      </w:tr>
      <w:tr w14:paraId="12794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8DFDF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B02E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2422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1DE03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DDD5F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A4236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6971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C94B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86F03B">
            <w:pPr>
              <w:snapToGrid w:val="0"/>
              <w:rPr>
                <w:rFonts w:hint="eastAsia" w:ascii="黑体" w:hAnsi="黑体" w:eastAsia="黑体" w:cs="黑体"/>
                <w:i/>
                <w:iCs/>
                <w:color w:val="000000"/>
                <w:sz w:val="18"/>
                <w:szCs w:val="18"/>
                <w:u w:val="none"/>
              </w:rPr>
            </w:pPr>
          </w:p>
        </w:tc>
      </w:tr>
      <w:tr w14:paraId="54103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A6B258">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838ED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6E66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6378A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CD2E2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5676F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D1B0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98860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5CCA14">
            <w:pPr>
              <w:snapToGrid w:val="0"/>
              <w:rPr>
                <w:rFonts w:hint="eastAsia" w:ascii="黑体" w:hAnsi="黑体" w:eastAsia="黑体" w:cs="黑体"/>
                <w:i/>
                <w:iCs/>
                <w:color w:val="000000"/>
                <w:sz w:val="18"/>
                <w:szCs w:val="18"/>
                <w:u w:val="none"/>
              </w:rPr>
            </w:pPr>
          </w:p>
        </w:tc>
      </w:tr>
      <w:tr w14:paraId="40358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CB088A">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9A0B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BB57E">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8C0F8">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97F84E">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A1F3D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B7C98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4D04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45AADC">
            <w:pPr>
              <w:snapToGrid w:val="0"/>
              <w:rPr>
                <w:rFonts w:hint="eastAsia" w:ascii="黑体" w:hAnsi="黑体" w:eastAsia="黑体" w:cs="黑体"/>
                <w:i/>
                <w:iCs/>
                <w:color w:val="000000"/>
                <w:sz w:val="18"/>
                <w:szCs w:val="18"/>
                <w:u w:val="none"/>
              </w:rPr>
            </w:pPr>
          </w:p>
        </w:tc>
      </w:tr>
      <w:tr w14:paraId="57C3A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E5AD7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F25E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239FB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B58A5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FAC4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F108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F04E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60D3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3180D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F9DA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C56A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52597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56AB5A">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09191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DE6C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D082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科目调整次数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C00B6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FAA1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EB79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次</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531540">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FEF7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A3CAB">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707BE">
            <w:pPr>
              <w:snapToGrid w:val="0"/>
              <w:jc w:val="center"/>
              <w:rPr>
                <w:rFonts w:hint="eastAsia" w:ascii="微软雅黑" w:hAnsi="微软雅黑" w:eastAsia="微软雅黑" w:cs="微软雅黑"/>
                <w:i/>
                <w:iCs/>
                <w:color w:val="000000"/>
                <w:sz w:val="16"/>
                <w:szCs w:val="16"/>
                <w:u w:val="none"/>
              </w:rPr>
            </w:pPr>
          </w:p>
        </w:tc>
      </w:tr>
      <w:tr w14:paraId="4EE58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7E9E2">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36FEBF">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60BF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D747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预算编制准确率（计算方法为：∣（执行数-预算数）/预算数∣）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91FF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58C7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6C8FA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27DF4">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2AC5B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5E3EC">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5D425">
            <w:pPr>
              <w:snapToGrid w:val="0"/>
              <w:jc w:val="center"/>
              <w:rPr>
                <w:rFonts w:hint="eastAsia" w:ascii="微软雅黑" w:hAnsi="微软雅黑" w:eastAsia="微软雅黑" w:cs="微软雅黑"/>
                <w:i/>
                <w:iCs/>
                <w:color w:val="000000"/>
                <w:sz w:val="16"/>
                <w:szCs w:val="16"/>
                <w:u w:val="none"/>
              </w:rPr>
            </w:pPr>
          </w:p>
        </w:tc>
      </w:tr>
      <w:tr w14:paraId="77EC9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573A48">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7D591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0CC1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F839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“三公经费”控制率[计算方法为：（三公经费实际支出数/预算安排数]×100%）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637BE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91BE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1991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11508">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DE38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B47E8">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3A597D">
            <w:pPr>
              <w:snapToGrid w:val="0"/>
              <w:jc w:val="center"/>
              <w:rPr>
                <w:rFonts w:hint="eastAsia" w:ascii="微软雅黑" w:hAnsi="微软雅黑" w:eastAsia="微软雅黑" w:cs="微软雅黑"/>
                <w:i/>
                <w:iCs/>
                <w:color w:val="000000"/>
                <w:sz w:val="16"/>
                <w:szCs w:val="16"/>
                <w:u w:val="none"/>
              </w:rPr>
            </w:pPr>
          </w:p>
        </w:tc>
      </w:tr>
      <w:tr w14:paraId="12951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C10405">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CFEDE0">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84B0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2B2B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运转保障率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2BBC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B36AA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6C08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5D249A">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F09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8123A">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46EEB">
            <w:pPr>
              <w:snapToGrid w:val="0"/>
              <w:jc w:val="center"/>
              <w:rPr>
                <w:rFonts w:hint="eastAsia" w:ascii="微软雅黑" w:hAnsi="微软雅黑" w:eastAsia="微软雅黑" w:cs="微软雅黑"/>
                <w:i/>
                <w:iCs/>
                <w:color w:val="000000"/>
                <w:sz w:val="16"/>
                <w:szCs w:val="16"/>
                <w:u w:val="none"/>
              </w:rPr>
            </w:pPr>
          </w:p>
        </w:tc>
      </w:tr>
      <w:tr w14:paraId="6D1F7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F79173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6C69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6B772">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9D232">
            <w:pPr>
              <w:snapToGrid w:val="0"/>
              <w:rPr>
                <w:rFonts w:hint="eastAsia" w:ascii="宋体" w:hAnsi="宋体" w:eastAsia="宋体" w:cs="宋体"/>
                <w:i w:val="0"/>
                <w:iCs w:val="0"/>
                <w:color w:val="000000"/>
                <w:sz w:val="18"/>
                <w:szCs w:val="18"/>
                <w:u w:val="none"/>
              </w:rPr>
            </w:pPr>
          </w:p>
        </w:tc>
      </w:tr>
      <w:tr w14:paraId="4C426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0845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5DC07D1">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保障学校公务出行。</w:t>
            </w:r>
          </w:p>
        </w:tc>
      </w:tr>
      <w:tr w14:paraId="794E0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8ADF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C9A6AC9">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7AC9C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D982A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B4BC38D">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38D52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26953D">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项目负责人：赵祥</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08E1A53">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7F658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6129C3CD">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757E9562">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1F9A5E34">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50E2C785">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398ABE15">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188388DE">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34D56092">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16B09F93">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324557CC">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783EB916">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69C8FBAB">
            <w:pPr>
              <w:snapToGrid w:val="0"/>
              <w:rPr>
                <w:rFonts w:hint="eastAsia" w:ascii="宋体" w:hAnsi="宋体" w:eastAsia="宋体" w:cs="宋体"/>
                <w:i w:val="0"/>
                <w:iCs w:val="0"/>
                <w:color w:val="000000"/>
                <w:sz w:val="18"/>
                <w:szCs w:val="18"/>
                <w:u w:val="none"/>
              </w:rPr>
            </w:pPr>
          </w:p>
        </w:tc>
      </w:tr>
      <w:tr w14:paraId="68EBB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3F08F8C5">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289DE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E2D2EB">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7296383">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51340024Y000010284429-州本级在职人员工会经费、福利费（事业）</w:t>
            </w:r>
          </w:p>
        </w:tc>
      </w:tr>
      <w:tr w14:paraId="21E35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50E46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45F082">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1303AB21">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E3C00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017B6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035A38">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96AC1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95515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11089D9">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3477B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8EFDD6">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0CE9A2">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98AAA2">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提高预算编制质量，严格执行预算，保障单位日常运转。</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2CB45B0">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提高预算编制质量，严格执行预算，保障单位日常运转。</w:t>
            </w:r>
          </w:p>
        </w:tc>
      </w:tr>
      <w:tr w14:paraId="17FE1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5389F9">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DF45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1435BEC">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节假日发放工会福利。</w:t>
            </w:r>
          </w:p>
        </w:tc>
      </w:tr>
      <w:tr w14:paraId="788CC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08079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E2E1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3CB1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640D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15B76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B722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213A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EA57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6B6E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0D3DB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B9B33D">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49E4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631C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31.89</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1D11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33.85</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325E8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33.85</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8919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3A30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F0CD8">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2EE388">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2024年新进15人。</w:t>
            </w:r>
          </w:p>
        </w:tc>
      </w:tr>
      <w:tr w14:paraId="54D4B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9A6A2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539B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75749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31.89</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A829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33.85</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97925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33.85</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4B54A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BCCA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7EB66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86FFA2">
            <w:pPr>
              <w:snapToGrid w:val="0"/>
              <w:rPr>
                <w:rFonts w:hint="eastAsia" w:ascii="黑体" w:hAnsi="黑体" w:eastAsia="黑体" w:cs="黑体"/>
                <w:i/>
                <w:iCs/>
                <w:color w:val="000000"/>
                <w:sz w:val="18"/>
                <w:szCs w:val="18"/>
                <w:u w:val="none"/>
              </w:rPr>
            </w:pPr>
          </w:p>
        </w:tc>
      </w:tr>
      <w:tr w14:paraId="2FF2E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4AB1B7">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2A15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82BF8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720B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276B1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B5B3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6C025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D0A88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BFB488">
            <w:pPr>
              <w:snapToGrid w:val="0"/>
              <w:rPr>
                <w:rFonts w:hint="eastAsia" w:ascii="黑体" w:hAnsi="黑体" w:eastAsia="黑体" w:cs="黑体"/>
                <w:i/>
                <w:iCs/>
                <w:color w:val="000000"/>
                <w:sz w:val="18"/>
                <w:szCs w:val="18"/>
                <w:u w:val="none"/>
              </w:rPr>
            </w:pPr>
          </w:p>
        </w:tc>
      </w:tr>
      <w:tr w14:paraId="3F094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83694F">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CCCF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DFA3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D7FE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4619F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EF7B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2E62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39FF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C51CD1">
            <w:pPr>
              <w:snapToGrid w:val="0"/>
              <w:rPr>
                <w:rFonts w:hint="eastAsia" w:ascii="黑体" w:hAnsi="黑体" w:eastAsia="黑体" w:cs="黑体"/>
                <w:i/>
                <w:iCs/>
                <w:color w:val="000000"/>
                <w:sz w:val="18"/>
                <w:szCs w:val="18"/>
                <w:u w:val="none"/>
              </w:rPr>
            </w:pPr>
          </w:p>
        </w:tc>
      </w:tr>
      <w:tr w14:paraId="4D831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83CDDC">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F1005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B7AF3B">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F3224">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DBA4F2">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AAE6B">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E253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7C2C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224EC7">
            <w:pPr>
              <w:snapToGrid w:val="0"/>
              <w:rPr>
                <w:rFonts w:hint="eastAsia" w:ascii="黑体" w:hAnsi="黑体" w:eastAsia="黑体" w:cs="黑体"/>
                <w:i/>
                <w:iCs/>
                <w:color w:val="000000"/>
                <w:sz w:val="18"/>
                <w:szCs w:val="18"/>
                <w:u w:val="none"/>
              </w:rPr>
            </w:pPr>
          </w:p>
        </w:tc>
      </w:tr>
      <w:tr w14:paraId="29FEB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52647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6F0D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9E817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E639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FE09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DE7A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7D52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45EB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45A6A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CE64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8EC3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7D229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0DB14E">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25D15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DA60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6F17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科目调整次数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3C60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3D31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54FD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次</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2A3AB">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F294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F82B2">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BB7BA">
            <w:pPr>
              <w:snapToGrid w:val="0"/>
              <w:jc w:val="center"/>
              <w:rPr>
                <w:rFonts w:hint="eastAsia" w:ascii="微软雅黑" w:hAnsi="微软雅黑" w:eastAsia="微软雅黑" w:cs="微软雅黑"/>
                <w:i/>
                <w:iCs/>
                <w:color w:val="000000"/>
                <w:sz w:val="16"/>
                <w:szCs w:val="16"/>
                <w:u w:val="none"/>
              </w:rPr>
            </w:pPr>
          </w:p>
        </w:tc>
      </w:tr>
      <w:tr w14:paraId="3DC9D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D6F422">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D1E582">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510A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344B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预算编制准确率（计算方法为：∣（执行数-预算数）/预算数∣）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F35F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9E5F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D460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1D8C6">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FD6F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94F49">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B3AC3">
            <w:pPr>
              <w:snapToGrid w:val="0"/>
              <w:jc w:val="center"/>
              <w:rPr>
                <w:rFonts w:hint="eastAsia" w:ascii="微软雅黑" w:hAnsi="微软雅黑" w:eastAsia="微软雅黑" w:cs="微软雅黑"/>
                <w:i/>
                <w:iCs/>
                <w:color w:val="000000"/>
                <w:sz w:val="16"/>
                <w:szCs w:val="16"/>
                <w:u w:val="none"/>
              </w:rPr>
            </w:pPr>
          </w:p>
        </w:tc>
      </w:tr>
      <w:tr w14:paraId="5E2C6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FD5417">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413B3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FA04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3E91B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“三公经费”控制率[计算方法为：（三公经费实际支出数/预算安排数]×100%）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F3853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9EF0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11CE7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792AA">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B191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C54AC">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93CC82">
            <w:pPr>
              <w:snapToGrid w:val="0"/>
              <w:jc w:val="center"/>
              <w:rPr>
                <w:rFonts w:hint="eastAsia" w:ascii="微软雅黑" w:hAnsi="微软雅黑" w:eastAsia="微软雅黑" w:cs="微软雅黑"/>
                <w:i/>
                <w:iCs/>
                <w:color w:val="000000"/>
                <w:sz w:val="16"/>
                <w:szCs w:val="16"/>
                <w:u w:val="none"/>
              </w:rPr>
            </w:pPr>
          </w:p>
        </w:tc>
      </w:tr>
      <w:tr w14:paraId="1E91F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EE1FFD">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C0DA12">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EEA0F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789F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运转保障率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3E5F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60EE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6E9D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128DC8">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B524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AA30C">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85BAE">
            <w:pPr>
              <w:snapToGrid w:val="0"/>
              <w:jc w:val="center"/>
              <w:rPr>
                <w:rFonts w:hint="eastAsia" w:ascii="微软雅黑" w:hAnsi="微软雅黑" w:eastAsia="微软雅黑" w:cs="微软雅黑"/>
                <w:i/>
                <w:iCs/>
                <w:color w:val="000000"/>
                <w:sz w:val="16"/>
                <w:szCs w:val="16"/>
                <w:u w:val="none"/>
              </w:rPr>
            </w:pPr>
          </w:p>
        </w:tc>
      </w:tr>
      <w:tr w14:paraId="7BB1D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B4B472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E5C9B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7A174">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18608">
            <w:pPr>
              <w:snapToGrid w:val="0"/>
              <w:rPr>
                <w:rFonts w:hint="eastAsia" w:ascii="宋体" w:hAnsi="宋体" w:eastAsia="宋体" w:cs="宋体"/>
                <w:i w:val="0"/>
                <w:iCs w:val="0"/>
                <w:color w:val="000000"/>
                <w:sz w:val="18"/>
                <w:szCs w:val="18"/>
                <w:u w:val="none"/>
              </w:rPr>
            </w:pPr>
          </w:p>
        </w:tc>
      </w:tr>
      <w:tr w14:paraId="05355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BBDA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6FDC452">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保障了职工福利。</w:t>
            </w:r>
          </w:p>
        </w:tc>
      </w:tr>
      <w:tr w14:paraId="51ACC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64D7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4866057">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3F394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5BD3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364C4A5">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30731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26484DC">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项目负责人：章勇</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85023B8">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7C592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18A95053">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546D0F41">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5B953228">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2F6A4707">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301DFD41">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7743B6D1">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464EA7FD">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414F2EA5">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0136D5BE">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5607055A">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669F8C46">
            <w:pPr>
              <w:snapToGrid w:val="0"/>
              <w:rPr>
                <w:rFonts w:hint="eastAsia" w:ascii="宋体" w:hAnsi="宋体" w:eastAsia="宋体" w:cs="宋体"/>
                <w:i w:val="0"/>
                <w:iCs w:val="0"/>
                <w:color w:val="000000"/>
                <w:sz w:val="18"/>
                <w:szCs w:val="18"/>
                <w:u w:val="none"/>
              </w:rPr>
            </w:pPr>
          </w:p>
        </w:tc>
      </w:tr>
      <w:tr w14:paraId="47500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74CC7B4">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36015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9E9398">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546283A">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51340024Y000010284590-州本级退休人员公用经费（事业退休）</w:t>
            </w:r>
          </w:p>
        </w:tc>
      </w:tr>
      <w:tr w14:paraId="591B3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E42B2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5C01E4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29599520">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8CCA2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68C82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A97EC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1A4AC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400E1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BE3002A">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56D80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C44D47">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0BD90D">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47FEA2">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提高预算编制质量，严格执行预算，保障单位日常运转。</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0FDA59C">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提高预算编制质量，严格执行预算，保障单位日常运转。</w:t>
            </w:r>
          </w:p>
        </w:tc>
      </w:tr>
      <w:tr w14:paraId="16B73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CD1203">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F51D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DD25B08">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退休人员慰问护理费、活动费等。</w:t>
            </w:r>
          </w:p>
        </w:tc>
      </w:tr>
      <w:tr w14:paraId="3C6B5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3E944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5E109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C370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218B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39F3C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ECD7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B88A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0EA0A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86F6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41309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501C8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D93DA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E466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17.57</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CA9A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13.42</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A6324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13.42</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88A7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457E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0CD7B1">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1A15A0">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退休人员慰问护理费、活动费等。</w:t>
            </w:r>
          </w:p>
        </w:tc>
      </w:tr>
      <w:tr w14:paraId="336BA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B345C3">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C586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80060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17.57</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5367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13.42</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30E4B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13.42</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E2D7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1CCC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5B47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1DA180">
            <w:pPr>
              <w:snapToGrid w:val="0"/>
              <w:rPr>
                <w:rFonts w:hint="eastAsia" w:ascii="黑体" w:hAnsi="黑体" w:eastAsia="黑体" w:cs="黑体"/>
                <w:i/>
                <w:iCs/>
                <w:color w:val="000000"/>
                <w:sz w:val="18"/>
                <w:szCs w:val="18"/>
                <w:u w:val="none"/>
              </w:rPr>
            </w:pPr>
          </w:p>
        </w:tc>
      </w:tr>
      <w:tr w14:paraId="4BFCA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DB848F">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C783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42A5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1621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2CB61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B0FE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FB4E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662D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CAD216">
            <w:pPr>
              <w:snapToGrid w:val="0"/>
              <w:rPr>
                <w:rFonts w:hint="eastAsia" w:ascii="黑体" w:hAnsi="黑体" w:eastAsia="黑体" w:cs="黑体"/>
                <w:i/>
                <w:iCs/>
                <w:color w:val="000000"/>
                <w:sz w:val="18"/>
                <w:szCs w:val="18"/>
                <w:u w:val="none"/>
              </w:rPr>
            </w:pPr>
          </w:p>
        </w:tc>
      </w:tr>
      <w:tr w14:paraId="6AEA8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12D3AD">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365F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2B59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45A1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DF11E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730D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1F0C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67CD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0560DE">
            <w:pPr>
              <w:snapToGrid w:val="0"/>
              <w:rPr>
                <w:rFonts w:hint="eastAsia" w:ascii="黑体" w:hAnsi="黑体" w:eastAsia="黑体" w:cs="黑体"/>
                <w:i/>
                <w:iCs/>
                <w:color w:val="000000"/>
                <w:sz w:val="18"/>
                <w:szCs w:val="18"/>
                <w:u w:val="none"/>
              </w:rPr>
            </w:pPr>
          </w:p>
        </w:tc>
      </w:tr>
      <w:tr w14:paraId="67DF5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6CF6C2">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2367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48D657">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570DCB">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CF6D08">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70E0D">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9795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1B608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0B4039">
            <w:pPr>
              <w:snapToGrid w:val="0"/>
              <w:rPr>
                <w:rFonts w:hint="eastAsia" w:ascii="黑体" w:hAnsi="黑体" w:eastAsia="黑体" w:cs="黑体"/>
                <w:i/>
                <w:iCs/>
                <w:color w:val="000000"/>
                <w:sz w:val="18"/>
                <w:szCs w:val="18"/>
                <w:u w:val="none"/>
              </w:rPr>
            </w:pPr>
          </w:p>
        </w:tc>
      </w:tr>
      <w:tr w14:paraId="3C388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C628A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213D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7D3A0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5026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06EB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2173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EEE0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FD86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A02A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6B51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79109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69C2D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ECDC43">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DDA58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8A319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A4A5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科目调整次数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6EFA3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53267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5F04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次</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CD594">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3735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568A28">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E26E6">
            <w:pPr>
              <w:snapToGrid w:val="0"/>
              <w:jc w:val="center"/>
              <w:rPr>
                <w:rFonts w:hint="eastAsia" w:ascii="微软雅黑" w:hAnsi="微软雅黑" w:eastAsia="微软雅黑" w:cs="微软雅黑"/>
                <w:i/>
                <w:iCs/>
                <w:color w:val="000000"/>
                <w:sz w:val="16"/>
                <w:szCs w:val="16"/>
                <w:u w:val="none"/>
              </w:rPr>
            </w:pPr>
          </w:p>
        </w:tc>
      </w:tr>
      <w:tr w14:paraId="298AC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B642CC">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9EE28A">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1897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6F1C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预算编制准确率（计算方法为：∣（执行数-预算数）/预算数∣）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F852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BDDD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ED44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4B875">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C3EF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809B9">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1C9DF">
            <w:pPr>
              <w:snapToGrid w:val="0"/>
              <w:jc w:val="center"/>
              <w:rPr>
                <w:rFonts w:hint="eastAsia" w:ascii="微软雅黑" w:hAnsi="微软雅黑" w:eastAsia="微软雅黑" w:cs="微软雅黑"/>
                <w:i/>
                <w:iCs/>
                <w:color w:val="000000"/>
                <w:sz w:val="16"/>
                <w:szCs w:val="16"/>
                <w:u w:val="none"/>
              </w:rPr>
            </w:pPr>
          </w:p>
        </w:tc>
      </w:tr>
      <w:tr w14:paraId="05D31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C3075B">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85107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2673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10DE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“三公经费”控制率[计算方法为：（三公经费实际支出数/预算安排数]×100%）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A19E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ECD41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4B75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E04A2">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E00EF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26505">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539E0">
            <w:pPr>
              <w:snapToGrid w:val="0"/>
              <w:jc w:val="center"/>
              <w:rPr>
                <w:rFonts w:hint="eastAsia" w:ascii="微软雅黑" w:hAnsi="微软雅黑" w:eastAsia="微软雅黑" w:cs="微软雅黑"/>
                <w:i/>
                <w:iCs/>
                <w:color w:val="000000"/>
                <w:sz w:val="16"/>
                <w:szCs w:val="16"/>
                <w:u w:val="none"/>
              </w:rPr>
            </w:pPr>
          </w:p>
        </w:tc>
      </w:tr>
      <w:tr w14:paraId="6B8C0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5B0D22">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2D3F49">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AF13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2F84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运转保障率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7FD0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D6C8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C3B6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13DBF7">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8D15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10E26">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79DC0">
            <w:pPr>
              <w:snapToGrid w:val="0"/>
              <w:jc w:val="center"/>
              <w:rPr>
                <w:rFonts w:hint="eastAsia" w:ascii="微软雅黑" w:hAnsi="微软雅黑" w:eastAsia="微软雅黑" w:cs="微软雅黑"/>
                <w:i/>
                <w:iCs/>
                <w:color w:val="000000"/>
                <w:sz w:val="16"/>
                <w:szCs w:val="16"/>
                <w:u w:val="none"/>
              </w:rPr>
            </w:pPr>
          </w:p>
        </w:tc>
      </w:tr>
      <w:tr w14:paraId="14B85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76ACC7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69BD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DF6E7">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50E6F">
            <w:pPr>
              <w:snapToGrid w:val="0"/>
              <w:rPr>
                <w:rFonts w:hint="eastAsia" w:ascii="宋体" w:hAnsi="宋体" w:eastAsia="宋体" w:cs="宋体"/>
                <w:i w:val="0"/>
                <w:iCs w:val="0"/>
                <w:color w:val="000000"/>
                <w:sz w:val="18"/>
                <w:szCs w:val="18"/>
                <w:u w:val="none"/>
              </w:rPr>
            </w:pPr>
          </w:p>
        </w:tc>
      </w:tr>
      <w:tr w14:paraId="01E9F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3929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82D09A0">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保障退休人员。</w:t>
            </w:r>
          </w:p>
        </w:tc>
      </w:tr>
      <w:tr w14:paraId="45902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5EEDF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AD3FE64">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2B819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F03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DF90EC4">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631B0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F8513BA">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项目负责人：吴周建</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0CA5853">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13A37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1130" w:hRule="atLeast"/>
          <w:jc w:val="center"/>
        </w:trPr>
        <w:tc>
          <w:tcPr>
            <w:tcW w:w="328" w:type="pct"/>
            <w:tcBorders>
              <w:top w:val="nil"/>
              <w:left w:val="nil"/>
              <w:bottom w:val="nil"/>
              <w:right w:val="nil"/>
            </w:tcBorders>
            <w:shd w:val="clear" w:color="auto" w:fill="auto"/>
            <w:vAlign w:val="center"/>
          </w:tcPr>
          <w:p w14:paraId="62A81D79">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62B3CE76">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0E4399CF">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07B7F169">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08BBFB4C">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4796607A">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3DE3CBF6">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1B919DA2">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09F65A52">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0AA786AD">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1E896416">
            <w:pPr>
              <w:snapToGrid w:val="0"/>
              <w:rPr>
                <w:rFonts w:hint="eastAsia" w:ascii="宋体" w:hAnsi="宋体" w:eastAsia="宋体" w:cs="宋体"/>
                <w:i w:val="0"/>
                <w:iCs w:val="0"/>
                <w:color w:val="000000"/>
                <w:sz w:val="18"/>
                <w:szCs w:val="18"/>
                <w:u w:val="none"/>
              </w:rPr>
            </w:pPr>
          </w:p>
        </w:tc>
      </w:tr>
      <w:tr w14:paraId="5E95D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AD4AC43">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76A7B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7F001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867E58C">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51340024Y000010284644-州本级体检经费（事业）</w:t>
            </w:r>
          </w:p>
        </w:tc>
      </w:tr>
      <w:tr w14:paraId="2ED91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84966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31324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37861E34">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0CAB2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43F63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5C9CCF">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FB22D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B05889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C3AA582">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5C590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1279A6">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843ECB">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B1D8DC6">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提高预算编制质量，严格执行预算，保障单位日常运转。</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CD0379">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提高预算编制质量，严格执行预算，保障单位日常运转。</w:t>
            </w:r>
          </w:p>
        </w:tc>
      </w:tr>
      <w:tr w14:paraId="78E01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C062EC">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60FEC">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6D9CBA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支付体检费用。</w:t>
            </w:r>
          </w:p>
        </w:tc>
      </w:tr>
      <w:tr w14:paraId="48A64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F0EA9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45537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1B75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9904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7AF25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B6D4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05FD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07C90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61219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589D4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E6BA0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6CFA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B9242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28.85</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CA58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24.06</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66661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24.06</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38E9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7A49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410AB9">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CB28DB">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职工体检费用。</w:t>
            </w:r>
          </w:p>
        </w:tc>
      </w:tr>
      <w:tr w14:paraId="02D7B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EFDC7B">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F202F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70EF5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28.85</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15F7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24.06</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CA52C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24.06</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605A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D82F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8319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AD4909">
            <w:pPr>
              <w:snapToGrid w:val="0"/>
              <w:rPr>
                <w:rFonts w:hint="eastAsia" w:ascii="黑体" w:hAnsi="黑体" w:eastAsia="黑体" w:cs="黑体"/>
                <w:i/>
                <w:iCs/>
                <w:color w:val="000000"/>
                <w:sz w:val="18"/>
                <w:szCs w:val="18"/>
                <w:u w:val="none"/>
              </w:rPr>
            </w:pPr>
          </w:p>
        </w:tc>
      </w:tr>
      <w:tr w14:paraId="78EBB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EE1847">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0F06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B828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5276D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1904D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EEF5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8B485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5FC6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0B0060">
            <w:pPr>
              <w:snapToGrid w:val="0"/>
              <w:rPr>
                <w:rFonts w:hint="eastAsia" w:ascii="黑体" w:hAnsi="黑体" w:eastAsia="黑体" w:cs="黑体"/>
                <w:i/>
                <w:iCs/>
                <w:color w:val="000000"/>
                <w:sz w:val="18"/>
                <w:szCs w:val="18"/>
                <w:u w:val="none"/>
              </w:rPr>
            </w:pPr>
          </w:p>
        </w:tc>
      </w:tr>
      <w:tr w14:paraId="0B199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122054">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2FBE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4F33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7690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18C67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AA6D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38D5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EECD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79C96A">
            <w:pPr>
              <w:snapToGrid w:val="0"/>
              <w:rPr>
                <w:rFonts w:hint="eastAsia" w:ascii="黑体" w:hAnsi="黑体" w:eastAsia="黑体" w:cs="黑体"/>
                <w:i/>
                <w:iCs/>
                <w:color w:val="000000"/>
                <w:sz w:val="18"/>
                <w:szCs w:val="18"/>
                <w:u w:val="none"/>
              </w:rPr>
            </w:pPr>
          </w:p>
        </w:tc>
      </w:tr>
      <w:tr w14:paraId="17231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B1161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26C2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E1109">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66DEC">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BBBF9E">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1C3D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C531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F4C0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DD05DC">
            <w:pPr>
              <w:snapToGrid w:val="0"/>
              <w:rPr>
                <w:rFonts w:hint="eastAsia" w:ascii="黑体" w:hAnsi="黑体" w:eastAsia="黑体" w:cs="黑体"/>
                <w:i/>
                <w:iCs/>
                <w:color w:val="000000"/>
                <w:sz w:val="18"/>
                <w:szCs w:val="18"/>
                <w:u w:val="none"/>
              </w:rPr>
            </w:pPr>
          </w:p>
        </w:tc>
      </w:tr>
      <w:tr w14:paraId="5A092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70CFB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A29E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73B2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59E2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65D4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97FB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A9DB3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BFB2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9FFD0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BB21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5FAA3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4D930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4FDD5">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7A001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7CF1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03A89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科目调整次数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056D2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7559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B10D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次</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BE62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1BD9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0237E">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DD0D7">
            <w:pPr>
              <w:snapToGrid w:val="0"/>
              <w:jc w:val="center"/>
              <w:rPr>
                <w:rFonts w:hint="eastAsia" w:ascii="微软雅黑" w:hAnsi="微软雅黑" w:eastAsia="微软雅黑" w:cs="微软雅黑"/>
                <w:i/>
                <w:iCs/>
                <w:color w:val="000000"/>
                <w:sz w:val="16"/>
                <w:szCs w:val="16"/>
                <w:u w:val="none"/>
              </w:rPr>
            </w:pPr>
          </w:p>
        </w:tc>
      </w:tr>
      <w:tr w14:paraId="14D53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190551">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7C007">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4616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2211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预算编制准确率（计算方法为：∣（执行数-预算数）/预算数∣）</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AB18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69AD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6A7F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DA94EF">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496B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30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90E94">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A46A5">
            <w:pPr>
              <w:snapToGrid w:val="0"/>
              <w:jc w:val="center"/>
              <w:rPr>
                <w:rFonts w:hint="eastAsia" w:ascii="微软雅黑" w:hAnsi="微软雅黑" w:eastAsia="微软雅黑" w:cs="微软雅黑"/>
                <w:i/>
                <w:iCs/>
                <w:color w:val="000000"/>
                <w:sz w:val="16"/>
                <w:szCs w:val="16"/>
                <w:u w:val="none"/>
              </w:rPr>
            </w:pPr>
          </w:p>
        </w:tc>
      </w:tr>
      <w:tr w14:paraId="32ECD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BB4CDE">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43096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68E22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B3D5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“三公经费”控制率[计算方法为：（三公经费实际支出数/预算安排数]×100%）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AA1C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FDF9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9937D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65A21">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CFDE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11121E">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5166C8">
            <w:pPr>
              <w:snapToGrid w:val="0"/>
              <w:jc w:val="center"/>
              <w:rPr>
                <w:rFonts w:hint="eastAsia" w:ascii="微软雅黑" w:hAnsi="微软雅黑" w:eastAsia="微软雅黑" w:cs="微软雅黑"/>
                <w:i/>
                <w:iCs/>
                <w:color w:val="000000"/>
                <w:sz w:val="16"/>
                <w:szCs w:val="16"/>
                <w:u w:val="none"/>
              </w:rPr>
            </w:pPr>
          </w:p>
        </w:tc>
      </w:tr>
      <w:tr w14:paraId="1F7DB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9A5C73">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7054F1">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2235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31F1C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运转保障率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F098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F9A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E93A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DF658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9D727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9F6A50">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B7E8E">
            <w:pPr>
              <w:snapToGrid w:val="0"/>
              <w:jc w:val="center"/>
              <w:rPr>
                <w:rFonts w:hint="eastAsia" w:ascii="微软雅黑" w:hAnsi="微软雅黑" w:eastAsia="微软雅黑" w:cs="微软雅黑"/>
                <w:i/>
                <w:iCs/>
                <w:color w:val="000000"/>
                <w:sz w:val="16"/>
                <w:szCs w:val="16"/>
                <w:u w:val="none"/>
              </w:rPr>
            </w:pPr>
          </w:p>
        </w:tc>
      </w:tr>
      <w:tr w14:paraId="415E0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E1269D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50F79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8A70E">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42C616">
            <w:pPr>
              <w:snapToGrid w:val="0"/>
              <w:rPr>
                <w:rFonts w:hint="eastAsia" w:ascii="宋体" w:hAnsi="宋体" w:eastAsia="宋体" w:cs="宋体"/>
                <w:i w:val="0"/>
                <w:iCs w:val="0"/>
                <w:color w:val="000000"/>
                <w:sz w:val="18"/>
                <w:szCs w:val="18"/>
                <w:u w:val="none"/>
              </w:rPr>
            </w:pPr>
          </w:p>
        </w:tc>
      </w:tr>
      <w:tr w14:paraId="4BF34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D4B8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E0E0D91">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保障了职工福利，职工的自身身体健康状况。</w:t>
            </w:r>
          </w:p>
        </w:tc>
      </w:tr>
      <w:tr w14:paraId="35EA0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0034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81EFA3C">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3EBDA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F61F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63D0EE5">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24D49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3D4A91">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项目负责人：章勇</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998A12F">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4DE99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694AEB58">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61518AB5">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2DE8B706">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7C6FCD48">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2F336F67">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0935D5DB">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552AE2D6">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615602B8">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53E3DA1E">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0DA0A10B">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79678E43">
            <w:pPr>
              <w:snapToGrid w:val="0"/>
              <w:rPr>
                <w:rFonts w:hint="eastAsia" w:ascii="宋体" w:hAnsi="宋体" w:eastAsia="宋体" w:cs="宋体"/>
                <w:i w:val="0"/>
                <w:iCs w:val="0"/>
                <w:color w:val="000000"/>
                <w:sz w:val="18"/>
                <w:szCs w:val="18"/>
                <w:u w:val="none"/>
              </w:rPr>
            </w:pPr>
          </w:p>
        </w:tc>
      </w:tr>
      <w:tr w14:paraId="23B12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4AE781C0">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15A9F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D676EA">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581817F">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51340024Y000012026593-教学设备采购（FS）</w:t>
            </w:r>
          </w:p>
        </w:tc>
      </w:tr>
      <w:tr w14:paraId="7BF98A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55DDB2">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556BC27">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5D309BC4">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58FFC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6594C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F4DE93">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F0D234">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33679C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225FB32">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37A17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504B4">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FE5819">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BEAA1A">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在规定时间内完成设备采购，保障广播系统的正常运行，通过此次采购，可至少保障5年内单位广播需求。广播质量合格。</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F2BB4D">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进行设备采购，保障广播系统的正常运行。</w:t>
            </w:r>
          </w:p>
        </w:tc>
      </w:tr>
      <w:tr w14:paraId="7FDDF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B03488">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3AC0B">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9436215">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该项决策程序严密、政策目标明确，设计配套管理制度较为健全，政策实施过程中程序规范、严谨，公开、 公平， 目前已完成安装并投入使用。</w:t>
            </w:r>
          </w:p>
        </w:tc>
      </w:tr>
      <w:tr w14:paraId="1A5DC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59F7B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F01E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219F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811B2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38401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B9F7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FD0F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FB5C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0DF6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5DA8A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3ACD0F">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D8AF7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B138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B073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26.88</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1352C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26.88</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AB9C8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A40E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C250F">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5E7480">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设备采购。</w:t>
            </w:r>
          </w:p>
        </w:tc>
      </w:tr>
      <w:tr w14:paraId="45751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24D9B2">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1E57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0481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EB27B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ADF1F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364B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3593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A826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F665EC">
            <w:pPr>
              <w:snapToGrid w:val="0"/>
              <w:rPr>
                <w:rFonts w:hint="eastAsia" w:ascii="黑体" w:hAnsi="黑体" w:eastAsia="黑体" w:cs="黑体"/>
                <w:i/>
                <w:iCs/>
                <w:color w:val="000000"/>
                <w:sz w:val="18"/>
                <w:szCs w:val="18"/>
                <w:u w:val="none"/>
              </w:rPr>
            </w:pPr>
          </w:p>
        </w:tc>
      </w:tr>
      <w:tr w14:paraId="1679A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3A1A11">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EB19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C043A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764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26.88</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B3885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26.88</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395E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9514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7C21C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ACC5BD">
            <w:pPr>
              <w:snapToGrid w:val="0"/>
              <w:rPr>
                <w:rFonts w:hint="eastAsia" w:ascii="黑体" w:hAnsi="黑体" w:eastAsia="黑体" w:cs="黑体"/>
                <w:i/>
                <w:iCs/>
                <w:color w:val="000000"/>
                <w:sz w:val="18"/>
                <w:szCs w:val="18"/>
                <w:u w:val="none"/>
              </w:rPr>
            </w:pPr>
          </w:p>
        </w:tc>
      </w:tr>
      <w:tr w14:paraId="582CA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2726DD">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D2ED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3B26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3E2A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F5CF6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EAA3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F500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143B3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51072A">
            <w:pPr>
              <w:snapToGrid w:val="0"/>
              <w:rPr>
                <w:rFonts w:hint="eastAsia" w:ascii="黑体" w:hAnsi="黑体" w:eastAsia="黑体" w:cs="黑体"/>
                <w:i/>
                <w:iCs/>
                <w:color w:val="000000"/>
                <w:sz w:val="18"/>
                <w:szCs w:val="18"/>
                <w:u w:val="none"/>
              </w:rPr>
            </w:pPr>
          </w:p>
        </w:tc>
      </w:tr>
      <w:tr w14:paraId="722D4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B3C5F">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49F1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C5295">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FA15CA">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810E53">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7B8E06">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7EF2B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723D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2B2C6F">
            <w:pPr>
              <w:snapToGrid w:val="0"/>
              <w:rPr>
                <w:rFonts w:hint="eastAsia" w:ascii="黑体" w:hAnsi="黑体" w:eastAsia="黑体" w:cs="黑体"/>
                <w:i/>
                <w:iCs/>
                <w:color w:val="000000"/>
                <w:sz w:val="18"/>
                <w:szCs w:val="18"/>
                <w:u w:val="none"/>
              </w:rPr>
            </w:pPr>
          </w:p>
        </w:tc>
      </w:tr>
      <w:tr w14:paraId="65B08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561E5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FE7D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BC9A8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DE49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82B3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3503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7D57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ED8A7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B954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8EE2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9C3B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514F5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5E11B0">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E9F69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3B26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数量指标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54C5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广播设备采购</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B8261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824B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57D6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套</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DD556">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1</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D9F3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6AF6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F6D1C">
            <w:pPr>
              <w:snapToGrid w:val="0"/>
              <w:jc w:val="center"/>
              <w:rPr>
                <w:rFonts w:hint="eastAsia" w:ascii="微软雅黑" w:hAnsi="微软雅黑" w:eastAsia="微软雅黑" w:cs="微软雅黑"/>
                <w:i/>
                <w:iCs/>
                <w:color w:val="000000"/>
                <w:sz w:val="16"/>
                <w:szCs w:val="16"/>
                <w:u w:val="none"/>
              </w:rPr>
            </w:pPr>
          </w:p>
        </w:tc>
      </w:tr>
      <w:tr w14:paraId="13FC9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9F81D4">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0C03E5">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DDA4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质量指标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681FF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采购广播设备的合格率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E27B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4CB1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98</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1329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EFF8B">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98</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1C3E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0321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2718F">
            <w:pPr>
              <w:snapToGrid w:val="0"/>
              <w:jc w:val="center"/>
              <w:rPr>
                <w:rFonts w:hint="eastAsia" w:ascii="微软雅黑" w:hAnsi="微软雅黑" w:eastAsia="微软雅黑" w:cs="微软雅黑"/>
                <w:i/>
                <w:iCs/>
                <w:color w:val="000000"/>
                <w:sz w:val="16"/>
                <w:szCs w:val="16"/>
                <w:u w:val="none"/>
              </w:rPr>
            </w:pPr>
          </w:p>
        </w:tc>
      </w:tr>
      <w:tr w14:paraId="48BBC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BE8817">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ED9F0F">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5AD8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时效指标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CC5B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采购完成时间</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8F9A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31A0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2024</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80561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156B5">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2024</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C43B2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684D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91780">
            <w:pPr>
              <w:snapToGrid w:val="0"/>
              <w:jc w:val="center"/>
              <w:rPr>
                <w:rFonts w:hint="eastAsia" w:ascii="微软雅黑" w:hAnsi="微软雅黑" w:eastAsia="微软雅黑" w:cs="微软雅黑"/>
                <w:i/>
                <w:iCs/>
                <w:color w:val="000000"/>
                <w:sz w:val="16"/>
                <w:szCs w:val="16"/>
                <w:u w:val="none"/>
              </w:rPr>
            </w:pPr>
          </w:p>
        </w:tc>
      </w:tr>
      <w:tr w14:paraId="3A5D6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2C626">
            <w:pPr>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143B9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055FF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社会效益指标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3740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项目所购置的广播系统能够保障日常教学管理</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1AD2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定性</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1A1F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长期</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E53B9">
            <w:pPr>
              <w:snapToGrid w:val="0"/>
              <w:jc w:val="center"/>
              <w:rPr>
                <w:rFonts w:hint="eastAsia" w:ascii="宋体" w:hAnsi="宋体" w:eastAsia="宋体" w:cs="宋体"/>
                <w:i w:val="0"/>
                <w:iCs w:val="0"/>
                <w:color w:val="000000"/>
                <w:sz w:val="18"/>
                <w:szCs w:val="18"/>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A3AF50">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长期</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6FE9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09EF0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EF805">
            <w:pPr>
              <w:snapToGrid w:val="0"/>
              <w:jc w:val="center"/>
              <w:rPr>
                <w:rFonts w:hint="eastAsia" w:ascii="微软雅黑" w:hAnsi="微软雅黑" w:eastAsia="微软雅黑" w:cs="微软雅黑"/>
                <w:i/>
                <w:iCs/>
                <w:color w:val="000000"/>
                <w:sz w:val="16"/>
                <w:szCs w:val="16"/>
                <w:u w:val="none"/>
              </w:rPr>
            </w:pPr>
          </w:p>
        </w:tc>
      </w:tr>
      <w:tr w14:paraId="4F3D0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BC2AF">
            <w:pPr>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3DB0E">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BD70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可持续影响指标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BA1C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保障广播正常使用</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79C1A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0123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BB0C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B154C">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5</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A75E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4D8A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2A5876">
            <w:pPr>
              <w:snapToGrid w:val="0"/>
              <w:jc w:val="center"/>
              <w:rPr>
                <w:rFonts w:hint="eastAsia" w:ascii="微软雅黑" w:hAnsi="微软雅黑" w:eastAsia="微软雅黑" w:cs="微软雅黑"/>
                <w:i/>
                <w:iCs/>
                <w:color w:val="000000"/>
                <w:sz w:val="16"/>
                <w:szCs w:val="16"/>
                <w:u w:val="none"/>
              </w:rPr>
            </w:pPr>
          </w:p>
        </w:tc>
      </w:tr>
      <w:tr w14:paraId="1D5D5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FFE741">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8B693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满意度指标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658D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服务对象满意度指标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5BB5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使用人员满意度</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7237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9A24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4F0B4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25945">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90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B8F1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A792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96FDF">
            <w:pPr>
              <w:snapToGrid w:val="0"/>
              <w:jc w:val="center"/>
              <w:rPr>
                <w:rFonts w:hint="eastAsia" w:ascii="微软雅黑" w:hAnsi="微软雅黑" w:eastAsia="微软雅黑" w:cs="微软雅黑"/>
                <w:i/>
                <w:iCs/>
                <w:color w:val="000000"/>
                <w:sz w:val="16"/>
                <w:szCs w:val="16"/>
                <w:u w:val="none"/>
              </w:rPr>
            </w:pPr>
          </w:p>
        </w:tc>
      </w:tr>
      <w:tr w14:paraId="5DF73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351D80">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EC70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成本指标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C3C8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经济成本指标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B07A0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广播系统采购成本</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8FDC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8D4B1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27.216</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F778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万元</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7A5B0">
            <w:pPr>
              <w:keepNext w:val="0"/>
              <w:keepLines w:val="0"/>
              <w:widowControl/>
              <w:suppressLineNumbers w:val="0"/>
              <w:snapToGrid w:val="0"/>
              <w:jc w:val="center"/>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27.216</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CD190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3B62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15</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9B0BE0">
            <w:pPr>
              <w:snapToGrid w:val="0"/>
              <w:jc w:val="center"/>
              <w:rPr>
                <w:rFonts w:hint="eastAsia" w:ascii="微软雅黑" w:hAnsi="微软雅黑" w:eastAsia="微软雅黑" w:cs="微软雅黑"/>
                <w:i/>
                <w:iCs/>
                <w:color w:val="000000"/>
                <w:sz w:val="16"/>
                <w:szCs w:val="16"/>
                <w:u w:val="none"/>
              </w:rPr>
            </w:pPr>
          </w:p>
        </w:tc>
      </w:tr>
      <w:tr w14:paraId="250FB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3DFF03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5E12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A6B9B">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CE627">
            <w:pPr>
              <w:snapToGrid w:val="0"/>
              <w:rPr>
                <w:rFonts w:hint="eastAsia" w:ascii="宋体" w:hAnsi="宋体" w:eastAsia="宋体" w:cs="宋体"/>
                <w:i w:val="0"/>
                <w:iCs w:val="0"/>
                <w:color w:val="000000"/>
                <w:sz w:val="18"/>
                <w:szCs w:val="18"/>
                <w:u w:val="none"/>
              </w:rPr>
            </w:pPr>
          </w:p>
        </w:tc>
      </w:tr>
      <w:tr w14:paraId="1E8B4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81A3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5D752E0">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学校更换广播设备后，音质更清晰，分区播放功能让广播更精准，能满足不同区域需求。智能化控制系统实现定时、远程操作，提高管理效率，营造良好校园文化氛围，保障师生安全。整体提升了学校的信息传播效率和校园文化建设水平，为师生提供了更优质的学习和生活环境。</w:t>
            </w:r>
          </w:p>
        </w:tc>
      </w:tr>
      <w:tr w14:paraId="48373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8CAB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D51FC0D">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早操音乐需自己播放。</w:t>
            </w:r>
          </w:p>
        </w:tc>
      </w:tr>
      <w:tr w14:paraId="51763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D98A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60BAFD9">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协调供货公司重新设置定时的音乐播放。</w:t>
            </w:r>
          </w:p>
        </w:tc>
      </w:tr>
      <w:tr w14:paraId="7EC10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F4A6764">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项目负责人：李洁霞</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42D403F">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r w14:paraId="23BE1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nil"/>
              <w:left w:val="nil"/>
              <w:bottom w:val="nil"/>
              <w:right w:val="nil"/>
            </w:tcBorders>
            <w:shd w:val="clear" w:color="auto" w:fill="auto"/>
            <w:vAlign w:val="center"/>
          </w:tcPr>
          <w:p w14:paraId="6AEEF80B">
            <w:pPr>
              <w:snapToGrid w:val="0"/>
              <w:rPr>
                <w:rFonts w:hint="eastAsia" w:ascii="宋体" w:hAnsi="宋体" w:eastAsia="宋体" w:cs="宋体"/>
                <w:i w:val="0"/>
                <w:iCs w:val="0"/>
                <w:color w:val="000000"/>
                <w:sz w:val="18"/>
                <w:szCs w:val="18"/>
                <w:u w:val="none"/>
              </w:rPr>
            </w:pPr>
          </w:p>
        </w:tc>
        <w:tc>
          <w:tcPr>
            <w:tcW w:w="341" w:type="pct"/>
            <w:tcBorders>
              <w:top w:val="nil"/>
              <w:left w:val="nil"/>
              <w:bottom w:val="nil"/>
              <w:right w:val="nil"/>
            </w:tcBorders>
            <w:shd w:val="clear" w:color="auto" w:fill="auto"/>
            <w:vAlign w:val="center"/>
          </w:tcPr>
          <w:p w14:paraId="6EB1F2DE">
            <w:pPr>
              <w:snapToGrid w:val="0"/>
              <w:rPr>
                <w:rFonts w:hint="eastAsia" w:ascii="宋体" w:hAnsi="宋体" w:eastAsia="宋体" w:cs="宋体"/>
                <w:i w:val="0"/>
                <w:iCs w:val="0"/>
                <w:color w:val="000000"/>
                <w:sz w:val="18"/>
                <w:szCs w:val="18"/>
                <w:u w:val="none"/>
              </w:rPr>
            </w:pPr>
          </w:p>
        </w:tc>
        <w:tc>
          <w:tcPr>
            <w:tcW w:w="434" w:type="pct"/>
            <w:tcBorders>
              <w:top w:val="nil"/>
              <w:left w:val="nil"/>
              <w:bottom w:val="nil"/>
              <w:right w:val="nil"/>
            </w:tcBorders>
            <w:shd w:val="clear" w:color="auto" w:fill="auto"/>
            <w:vAlign w:val="center"/>
          </w:tcPr>
          <w:p w14:paraId="3EDB1D0E">
            <w:pPr>
              <w:snapToGrid w:val="0"/>
              <w:rPr>
                <w:rFonts w:hint="eastAsia" w:ascii="宋体" w:hAnsi="宋体" w:eastAsia="宋体" w:cs="宋体"/>
                <w:i w:val="0"/>
                <w:iCs w:val="0"/>
                <w:color w:val="000000"/>
                <w:sz w:val="18"/>
                <w:szCs w:val="18"/>
                <w:u w:val="none"/>
              </w:rPr>
            </w:pPr>
          </w:p>
        </w:tc>
        <w:tc>
          <w:tcPr>
            <w:tcW w:w="836" w:type="pct"/>
            <w:tcBorders>
              <w:top w:val="nil"/>
              <w:left w:val="nil"/>
              <w:bottom w:val="nil"/>
              <w:right w:val="nil"/>
            </w:tcBorders>
            <w:shd w:val="clear" w:color="auto" w:fill="auto"/>
            <w:vAlign w:val="center"/>
          </w:tcPr>
          <w:p w14:paraId="212154C7">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5B63179C">
            <w:pPr>
              <w:snapToGrid w:val="0"/>
              <w:rPr>
                <w:rFonts w:hint="eastAsia" w:ascii="宋体" w:hAnsi="宋体" w:eastAsia="宋体" w:cs="宋体"/>
                <w:i w:val="0"/>
                <w:iCs w:val="0"/>
                <w:color w:val="000000"/>
                <w:sz w:val="18"/>
                <w:szCs w:val="18"/>
                <w:u w:val="none"/>
              </w:rPr>
            </w:pPr>
          </w:p>
        </w:tc>
        <w:tc>
          <w:tcPr>
            <w:tcW w:w="402" w:type="pct"/>
            <w:tcBorders>
              <w:top w:val="nil"/>
              <w:left w:val="nil"/>
              <w:bottom w:val="nil"/>
              <w:right w:val="nil"/>
            </w:tcBorders>
            <w:shd w:val="clear" w:color="auto" w:fill="auto"/>
            <w:vAlign w:val="center"/>
          </w:tcPr>
          <w:p w14:paraId="072F5CDB">
            <w:pPr>
              <w:snapToGrid w:val="0"/>
              <w:rPr>
                <w:rFonts w:hint="eastAsia" w:ascii="宋体" w:hAnsi="宋体" w:eastAsia="宋体" w:cs="宋体"/>
                <w:i w:val="0"/>
                <w:iCs w:val="0"/>
                <w:color w:val="000000"/>
                <w:sz w:val="18"/>
                <w:szCs w:val="18"/>
                <w:u w:val="none"/>
              </w:rPr>
            </w:pPr>
          </w:p>
        </w:tc>
        <w:tc>
          <w:tcPr>
            <w:tcW w:w="201" w:type="pct"/>
            <w:tcBorders>
              <w:top w:val="nil"/>
              <w:left w:val="nil"/>
              <w:bottom w:val="nil"/>
              <w:right w:val="nil"/>
            </w:tcBorders>
            <w:shd w:val="clear" w:color="auto" w:fill="auto"/>
            <w:vAlign w:val="center"/>
          </w:tcPr>
          <w:p w14:paraId="6649A10D">
            <w:pPr>
              <w:snapToGrid w:val="0"/>
              <w:rPr>
                <w:rFonts w:hint="eastAsia" w:ascii="宋体" w:hAnsi="宋体" w:eastAsia="宋体" w:cs="宋体"/>
                <w:i w:val="0"/>
                <w:iCs w:val="0"/>
                <w:color w:val="000000"/>
                <w:sz w:val="18"/>
                <w:szCs w:val="18"/>
                <w:u w:val="none"/>
              </w:rPr>
            </w:pPr>
          </w:p>
        </w:tc>
        <w:tc>
          <w:tcPr>
            <w:tcW w:w="479" w:type="pct"/>
            <w:tcBorders>
              <w:top w:val="nil"/>
              <w:left w:val="nil"/>
              <w:bottom w:val="nil"/>
              <w:right w:val="nil"/>
            </w:tcBorders>
            <w:shd w:val="clear" w:color="auto" w:fill="auto"/>
            <w:vAlign w:val="center"/>
          </w:tcPr>
          <w:p w14:paraId="198BAD13">
            <w:pPr>
              <w:snapToGrid w:val="0"/>
              <w:rPr>
                <w:rFonts w:hint="eastAsia" w:ascii="宋体" w:hAnsi="宋体" w:eastAsia="宋体" w:cs="宋体"/>
                <w:i w:val="0"/>
                <w:iCs w:val="0"/>
                <w:color w:val="000000"/>
                <w:sz w:val="18"/>
                <w:szCs w:val="18"/>
                <w:u w:val="none"/>
              </w:rPr>
            </w:pPr>
          </w:p>
        </w:tc>
        <w:tc>
          <w:tcPr>
            <w:tcW w:w="240" w:type="pct"/>
            <w:tcBorders>
              <w:top w:val="nil"/>
              <w:left w:val="nil"/>
              <w:bottom w:val="nil"/>
              <w:right w:val="nil"/>
            </w:tcBorders>
            <w:shd w:val="clear" w:color="auto" w:fill="auto"/>
            <w:vAlign w:val="center"/>
          </w:tcPr>
          <w:p w14:paraId="18B17F13">
            <w:pPr>
              <w:snapToGrid w:val="0"/>
              <w:rPr>
                <w:rFonts w:hint="eastAsia" w:ascii="宋体" w:hAnsi="宋体" w:eastAsia="宋体" w:cs="宋体"/>
                <w:i w:val="0"/>
                <w:iCs w:val="0"/>
                <w:color w:val="000000"/>
                <w:sz w:val="18"/>
                <w:szCs w:val="18"/>
                <w:u w:val="none"/>
              </w:rPr>
            </w:pPr>
          </w:p>
        </w:tc>
        <w:tc>
          <w:tcPr>
            <w:tcW w:w="189" w:type="pct"/>
            <w:tcBorders>
              <w:top w:val="nil"/>
              <w:left w:val="nil"/>
              <w:bottom w:val="nil"/>
              <w:right w:val="nil"/>
            </w:tcBorders>
            <w:shd w:val="clear" w:color="auto" w:fill="auto"/>
            <w:vAlign w:val="center"/>
          </w:tcPr>
          <w:p w14:paraId="42DED42A">
            <w:pPr>
              <w:snapToGrid w:val="0"/>
              <w:rPr>
                <w:rFonts w:hint="eastAsia" w:ascii="宋体" w:hAnsi="宋体" w:eastAsia="宋体" w:cs="宋体"/>
                <w:i w:val="0"/>
                <w:iCs w:val="0"/>
                <w:color w:val="000000"/>
                <w:sz w:val="18"/>
                <w:szCs w:val="18"/>
                <w:u w:val="none"/>
              </w:rPr>
            </w:pPr>
          </w:p>
        </w:tc>
        <w:tc>
          <w:tcPr>
            <w:tcW w:w="1346" w:type="pct"/>
            <w:tcBorders>
              <w:top w:val="nil"/>
              <w:left w:val="nil"/>
              <w:bottom w:val="nil"/>
              <w:right w:val="nil"/>
            </w:tcBorders>
            <w:shd w:val="clear" w:color="auto" w:fill="auto"/>
            <w:vAlign w:val="center"/>
          </w:tcPr>
          <w:p w14:paraId="74240F0F">
            <w:pPr>
              <w:snapToGrid w:val="0"/>
              <w:rPr>
                <w:rFonts w:hint="eastAsia" w:ascii="宋体" w:hAnsi="宋体" w:eastAsia="宋体" w:cs="宋体"/>
                <w:i w:val="0"/>
                <w:iCs w:val="0"/>
                <w:color w:val="000000"/>
                <w:sz w:val="18"/>
                <w:szCs w:val="18"/>
                <w:u w:val="none"/>
              </w:rPr>
            </w:pPr>
          </w:p>
        </w:tc>
      </w:tr>
      <w:tr w14:paraId="43E57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0"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2A9C0F75">
            <w:pPr>
              <w:keepNext w:val="0"/>
              <w:keepLines w:val="0"/>
              <w:widowControl/>
              <w:suppressLineNumbers w:val="0"/>
              <w:snapToGrid w:val="0"/>
              <w:jc w:val="center"/>
              <w:textAlignment w:val="center"/>
              <w:rPr>
                <w:rFonts w:hint="eastAsia" w:ascii="黑体" w:hAnsi="宋体" w:eastAsia="黑体" w:cs="黑体"/>
                <w:b/>
                <w:bCs/>
                <w:i w:val="0"/>
                <w:iCs w:val="0"/>
                <w:color w:val="000000"/>
                <w:sz w:val="30"/>
                <w:szCs w:val="30"/>
                <w:u w:val="none"/>
              </w:rPr>
            </w:pPr>
            <w:r>
              <w:rPr>
                <w:rFonts w:hint="eastAsia" w:ascii="黑体" w:hAnsi="宋体" w:eastAsia="黑体" w:cs="黑体"/>
                <w:b/>
                <w:bCs/>
                <w:i w:val="0"/>
                <w:iCs w:val="0"/>
                <w:color w:val="000000"/>
                <w:kern w:val="0"/>
                <w:sz w:val="30"/>
                <w:szCs w:val="30"/>
                <w:u w:val="none"/>
                <w:lang w:val="en-US" w:eastAsia="zh-CN" w:bidi="ar"/>
              </w:rPr>
              <w:t>部门预算项目支出绩效自评表（2024年度）</w:t>
            </w:r>
          </w:p>
        </w:tc>
      </w:tr>
      <w:tr w14:paraId="4BB16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948EDF">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57F51A0">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51340025Y000013124578-州级职教专项（凉山州中等职业学校师生技能大赛经费）</w:t>
            </w:r>
          </w:p>
        </w:tc>
      </w:tr>
      <w:tr w14:paraId="48940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6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C4C25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主管部门</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B8732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凉山彝族自治州教育和体育局部门</w:t>
            </w:r>
          </w:p>
        </w:tc>
        <w:tc>
          <w:tcPr>
            <w:tcW w:w="479" w:type="pct"/>
            <w:tcBorders>
              <w:top w:val="nil"/>
              <w:left w:val="nil"/>
              <w:bottom w:val="nil"/>
              <w:right w:val="nil"/>
            </w:tcBorders>
            <w:shd w:val="clear" w:color="auto" w:fill="auto"/>
            <w:vAlign w:val="center"/>
          </w:tcPr>
          <w:p w14:paraId="5AF1694C">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实施单位 （盖章）</w:t>
            </w:r>
          </w:p>
        </w:tc>
        <w:tc>
          <w:tcPr>
            <w:tcW w:w="177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B7456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凉山州农业学校</w:t>
            </w:r>
          </w:p>
        </w:tc>
      </w:tr>
      <w:tr w14:paraId="5B76E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EA15A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项目基本情况</w:t>
            </w:r>
          </w:p>
        </w:tc>
        <w:tc>
          <w:tcPr>
            <w:tcW w:w="34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C75659">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1.项目年度目标完成情况</w:t>
            </w: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AD4063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项目年度目标</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5EFC7A2">
            <w:pPr>
              <w:keepNext w:val="0"/>
              <w:keepLines w:val="0"/>
              <w:widowControl/>
              <w:suppressLineNumbers w:val="0"/>
              <w:snapToGrid w:val="0"/>
              <w:jc w:val="center"/>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年度目标完成情况</w:t>
            </w:r>
          </w:p>
        </w:tc>
      </w:tr>
      <w:tr w14:paraId="149CD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F4C6D6">
            <w:pPr>
              <w:snapToGrid w:val="0"/>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C94896">
            <w:pPr>
              <w:snapToGrid w:val="0"/>
              <w:rPr>
                <w:rFonts w:hint="eastAsia" w:ascii="宋体" w:hAnsi="宋体" w:eastAsia="宋体" w:cs="宋体"/>
                <w:i w:val="0"/>
                <w:iCs w:val="0"/>
                <w:color w:val="000000"/>
                <w:sz w:val="18"/>
                <w:szCs w:val="18"/>
                <w:u w:val="none"/>
              </w:rPr>
            </w:pPr>
          </w:p>
        </w:tc>
        <w:tc>
          <w:tcPr>
            <w:tcW w:w="20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86A68CD">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凉山州中等职业学校师生技能大赛。</w:t>
            </w:r>
          </w:p>
        </w:tc>
        <w:tc>
          <w:tcPr>
            <w:tcW w:w="225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344EB10">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凉山州中等职业学校师生技能大赛。</w:t>
            </w:r>
          </w:p>
        </w:tc>
      </w:tr>
      <w:tr w14:paraId="32443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851BB6">
            <w:pPr>
              <w:snapToGrid w:val="0"/>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A9C11">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2.项目实施内容及过程概述</w:t>
            </w:r>
          </w:p>
        </w:tc>
        <w:tc>
          <w:tcPr>
            <w:tcW w:w="433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FA0F4AE">
            <w:pPr>
              <w:keepNext w:val="0"/>
              <w:keepLines w:val="0"/>
              <w:widowControl/>
              <w:suppressLineNumbers w:val="0"/>
              <w:snapToGrid w:val="0"/>
              <w:jc w:val="lef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购买技能大赛耗材等。</w:t>
            </w:r>
          </w:p>
        </w:tc>
      </w:tr>
      <w:tr w14:paraId="5AFBC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CBE4A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预算执行情况（10分）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278E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年度预算数（万元）</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EC96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年初预算</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A808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调整后预算数</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4A589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预算执行数</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4035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预算执行率</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2067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FD58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3441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原因</w:t>
            </w:r>
          </w:p>
        </w:tc>
      </w:tr>
      <w:tr w14:paraId="15972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DE771B">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AF3FC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总额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B872A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74AB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53.21</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C2630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53.21</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E74A8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C9EE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56B74">
            <w:pPr>
              <w:snapToGrid w:val="0"/>
              <w:jc w:val="center"/>
              <w:rPr>
                <w:rFonts w:hint="eastAsia" w:ascii="宋体" w:hAnsi="宋体" w:eastAsia="宋体" w:cs="宋体"/>
                <w:i w:val="0"/>
                <w:iCs w:val="0"/>
                <w:color w:val="000000"/>
                <w:sz w:val="18"/>
                <w:szCs w:val="18"/>
                <w:u w:val="none"/>
              </w:rPr>
            </w:pP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6198E2">
            <w:pPr>
              <w:keepNext w:val="0"/>
              <w:keepLines w:val="0"/>
              <w:widowControl/>
              <w:suppressLineNumbers w:val="0"/>
              <w:snapToGrid w:val="0"/>
              <w:jc w:val="left"/>
              <w:textAlignment w:val="center"/>
              <w:rPr>
                <w:rFonts w:hint="eastAsia" w:ascii="黑体" w:hAnsi="黑体" w:eastAsia="黑体" w:cs="黑体"/>
                <w:i/>
                <w:iCs/>
                <w:color w:val="000000"/>
                <w:sz w:val="18"/>
                <w:szCs w:val="18"/>
                <w:u w:val="none"/>
              </w:rPr>
            </w:pPr>
            <w:r>
              <w:rPr>
                <w:rFonts w:hint="eastAsia" w:ascii="黑体" w:hAnsi="黑体" w:eastAsia="黑体" w:cs="黑体"/>
                <w:i/>
                <w:iCs/>
                <w:color w:val="000000"/>
                <w:kern w:val="0"/>
                <w:sz w:val="18"/>
                <w:szCs w:val="18"/>
                <w:u w:val="none"/>
                <w:lang w:val="en-US" w:eastAsia="zh-CN" w:bidi="ar"/>
              </w:rPr>
              <w:t>购买技能大赛耗材等。</w:t>
            </w:r>
          </w:p>
        </w:tc>
      </w:tr>
      <w:tr w14:paraId="0FB36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811AB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ABBC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其中：财政资金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547D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A145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53.21</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0AB05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53.21</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0CD50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879E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3DAE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1CFE1">
            <w:pPr>
              <w:snapToGrid w:val="0"/>
              <w:rPr>
                <w:rFonts w:hint="eastAsia" w:ascii="黑体" w:hAnsi="黑体" w:eastAsia="黑体" w:cs="黑体"/>
                <w:i/>
                <w:iCs/>
                <w:color w:val="000000"/>
                <w:sz w:val="18"/>
                <w:szCs w:val="18"/>
                <w:u w:val="none"/>
              </w:rPr>
            </w:pPr>
          </w:p>
        </w:tc>
      </w:tr>
      <w:tr w14:paraId="16647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533A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73A9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财政专户管理资金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3053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0CAE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DEDA1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F533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8F66D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02278">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75ACEF">
            <w:pPr>
              <w:snapToGrid w:val="0"/>
              <w:rPr>
                <w:rFonts w:hint="eastAsia" w:ascii="黑体" w:hAnsi="黑体" w:eastAsia="黑体" w:cs="黑体"/>
                <w:i/>
                <w:iCs/>
                <w:color w:val="000000"/>
                <w:sz w:val="18"/>
                <w:szCs w:val="18"/>
                <w:u w:val="none"/>
              </w:rPr>
            </w:pPr>
          </w:p>
        </w:tc>
      </w:tr>
      <w:tr w14:paraId="3641C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3391FE">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BBA99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单位资金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419AD7">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24C2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197FF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3460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0.00%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5386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B3ED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90BD11">
            <w:pPr>
              <w:snapToGrid w:val="0"/>
              <w:rPr>
                <w:rFonts w:hint="eastAsia" w:ascii="黑体" w:hAnsi="黑体" w:eastAsia="黑体" w:cs="黑体"/>
                <w:i/>
                <w:iCs/>
                <w:color w:val="000000"/>
                <w:sz w:val="18"/>
                <w:szCs w:val="18"/>
                <w:u w:val="none"/>
              </w:rPr>
            </w:pPr>
          </w:p>
        </w:tc>
      </w:tr>
      <w:tr w14:paraId="4BEDE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1D6175">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64F40">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其他资金</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CD079">
            <w:pPr>
              <w:snapToGrid w:val="0"/>
              <w:jc w:val="center"/>
              <w:rPr>
                <w:rFonts w:hint="eastAsia" w:ascii="微软雅黑" w:hAnsi="微软雅黑" w:eastAsia="微软雅黑" w:cs="微软雅黑"/>
                <w:i/>
                <w:iCs/>
                <w:color w:val="000000"/>
                <w:sz w:val="16"/>
                <w:szCs w:val="16"/>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EB124">
            <w:pPr>
              <w:snapToGrid w:val="0"/>
              <w:jc w:val="center"/>
              <w:rPr>
                <w:rFonts w:hint="eastAsia" w:ascii="微软雅黑" w:hAnsi="微软雅黑" w:eastAsia="微软雅黑" w:cs="微软雅黑"/>
                <w:i/>
                <w:iCs/>
                <w:color w:val="000000"/>
                <w:sz w:val="16"/>
                <w:szCs w:val="16"/>
                <w:u w:val="none"/>
              </w:rPr>
            </w:pPr>
          </w:p>
        </w:tc>
        <w:tc>
          <w:tcPr>
            <w:tcW w:w="80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280267">
            <w:pPr>
              <w:snapToGrid w:val="0"/>
              <w:jc w:val="center"/>
              <w:rPr>
                <w:rFonts w:hint="eastAsia" w:ascii="微软雅黑" w:hAnsi="微软雅黑" w:eastAsia="微软雅黑" w:cs="微软雅黑"/>
                <w:i/>
                <w:iCs/>
                <w:color w:val="000000"/>
                <w:sz w:val="16"/>
                <w:szCs w:val="16"/>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2D66C3">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7A319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4FA3C">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w:t>
            </w: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7478BA">
            <w:pPr>
              <w:snapToGrid w:val="0"/>
              <w:rPr>
                <w:rFonts w:hint="eastAsia" w:ascii="黑体" w:hAnsi="黑体" w:eastAsia="黑体" w:cs="黑体"/>
                <w:i/>
                <w:iCs/>
                <w:color w:val="000000"/>
                <w:sz w:val="18"/>
                <w:szCs w:val="18"/>
                <w:u w:val="none"/>
              </w:rPr>
            </w:pPr>
          </w:p>
        </w:tc>
      </w:tr>
      <w:tr w14:paraId="640BF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6A279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绩效指标（90分）</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02B99">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一级指标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362C4">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二级指标</w:t>
            </w: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15E1B">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三级指标</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6DF8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指标性质</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0BB343">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指标值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B8D7D6">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度量单位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BB25E">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完成值</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66BE2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权重</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E1BF8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得分</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0D79F">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未完成原因分析</w:t>
            </w:r>
          </w:p>
        </w:tc>
      </w:tr>
      <w:tr w14:paraId="2D674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4024A5">
            <w:pPr>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D6A8DF">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8F4F4">
            <w:pPr>
              <w:snapToGrid w:val="0"/>
              <w:jc w:val="center"/>
              <w:rPr>
                <w:rFonts w:hint="eastAsia" w:ascii="宋体" w:hAnsi="宋体" w:eastAsia="宋体" w:cs="宋体"/>
                <w:i w:val="0"/>
                <w:iCs w:val="0"/>
                <w:color w:val="000000"/>
                <w:sz w:val="18"/>
                <w:szCs w:val="18"/>
                <w:u w:val="none"/>
              </w:rPr>
            </w:pPr>
          </w:p>
        </w:tc>
        <w:tc>
          <w:tcPr>
            <w:tcW w:w="8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942FE5">
            <w:pPr>
              <w:snapToGrid w:val="0"/>
              <w:jc w:val="center"/>
              <w:rPr>
                <w:rFonts w:hint="eastAsia" w:ascii="宋体" w:hAnsi="宋体" w:eastAsia="宋体" w:cs="宋体"/>
                <w:i w:val="0"/>
                <w:iCs w:val="0"/>
                <w:color w:val="000000"/>
                <w:sz w:val="18"/>
                <w:szCs w:val="18"/>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6AB3E">
            <w:pPr>
              <w:snapToGrid w:val="0"/>
              <w:jc w:val="center"/>
              <w:rPr>
                <w:rFonts w:hint="eastAsia" w:ascii="宋体" w:hAnsi="宋体" w:eastAsia="宋体" w:cs="宋体"/>
                <w:i w:val="0"/>
                <w:iCs w:val="0"/>
                <w:color w:val="000000"/>
                <w:sz w:val="18"/>
                <w:szCs w:val="18"/>
                <w:u w:val="none"/>
              </w:rPr>
            </w:pP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CCABE3">
            <w:pPr>
              <w:snapToGrid w:val="0"/>
              <w:jc w:val="center"/>
              <w:rPr>
                <w:rFonts w:hint="eastAsia" w:ascii="宋体" w:hAnsi="宋体" w:eastAsia="宋体" w:cs="宋体"/>
                <w:i w:val="0"/>
                <w:iCs w:val="0"/>
                <w:color w:val="000000"/>
                <w:sz w:val="18"/>
                <w:szCs w:val="18"/>
                <w:u w:val="none"/>
              </w:rPr>
            </w:pP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A9C77">
            <w:pPr>
              <w:snapToGrid w:val="0"/>
              <w:jc w:val="center"/>
              <w:rPr>
                <w:rFonts w:hint="eastAsia" w:ascii="宋体" w:hAnsi="宋体" w:eastAsia="宋体" w:cs="宋体"/>
                <w:i w:val="0"/>
                <w:iCs w:val="0"/>
                <w:color w:val="000000"/>
                <w:sz w:val="18"/>
                <w:szCs w:val="18"/>
                <w:u w:val="none"/>
              </w:rPr>
            </w:pP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DDBC6">
            <w:pPr>
              <w:snapToGrid w:val="0"/>
              <w:jc w:val="center"/>
              <w:rPr>
                <w:rFonts w:hint="eastAsia" w:ascii="微软雅黑" w:hAnsi="微软雅黑" w:eastAsia="微软雅黑" w:cs="微软雅黑"/>
                <w:i/>
                <w:iCs/>
                <w:color w:val="000000"/>
                <w:sz w:val="16"/>
                <w:szCs w:val="16"/>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AD772">
            <w:pPr>
              <w:snapToGrid w:val="0"/>
              <w:jc w:val="center"/>
              <w:rPr>
                <w:rFonts w:hint="eastAsia" w:ascii="宋体" w:hAnsi="宋体" w:eastAsia="宋体" w:cs="宋体"/>
                <w:i w:val="0"/>
                <w:iCs w:val="0"/>
                <w:color w:val="000000"/>
                <w:sz w:val="18"/>
                <w:szCs w:val="18"/>
                <w:u w:val="none"/>
              </w:rPr>
            </w:pP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CBBCF">
            <w:pPr>
              <w:snapToGrid w:val="0"/>
              <w:jc w:val="center"/>
              <w:rPr>
                <w:rFonts w:hint="eastAsia" w:ascii="宋体" w:hAnsi="宋体" w:eastAsia="宋体" w:cs="宋体"/>
                <w:i w:val="0"/>
                <w:iCs w:val="0"/>
                <w:color w:val="000000"/>
                <w:sz w:val="18"/>
                <w:szCs w:val="18"/>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A7CA02">
            <w:pPr>
              <w:snapToGrid w:val="0"/>
              <w:jc w:val="center"/>
              <w:rPr>
                <w:rFonts w:hint="eastAsia" w:ascii="微软雅黑" w:hAnsi="微软雅黑" w:eastAsia="微软雅黑" w:cs="微软雅黑"/>
                <w:i/>
                <w:iCs/>
                <w:color w:val="000000"/>
                <w:sz w:val="16"/>
                <w:szCs w:val="16"/>
                <w:u w:val="none"/>
              </w:rPr>
            </w:pPr>
          </w:p>
        </w:tc>
      </w:tr>
      <w:tr w14:paraId="16DF8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2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28FA75D">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合计</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3C99A">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100</w:t>
            </w:r>
          </w:p>
        </w:tc>
        <w:tc>
          <w:tcPr>
            <w:tcW w:w="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7CDE23">
            <w:pPr>
              <w:keepNext w:val="0"/>
              <w:keepLines w:val="0"/>
              <w:widowControl/>
              <w:suppressLineNumbers w:val="0"/>
              <w:snapToGrid w:val="0"/>
              <w:jc w:val="right"/>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90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BD7EE">
            <w:pPr>
              <w:snapToGrid w:val="0"/>
              <w:rPr>
                <w:rFonts w:hint="eastAsia" w:ascii="宋体" w:hAnsi="宋体" w:eastAsia="宋体" w:cs="宋体"/>
                <w:i w:val="0"/>
                <w:iCs w:val="0"/>
                <w:color w:val="000000"/>
                <w:sz w:val="18"/>
                <w:szCs w:val="18"/>
                <w:u w:val="none"/>
              </w:rPr>
            </w:pPr>
          </w:p>
        </w:tc>
      </w:tr>
      <w:tr w14:paraId="01126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19F11">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评价结论</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C482164">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完成技能大赛举办。</w:t>
            </w:r>
          </w:p>
        </w:tc>
      </w:tr>
      <w:tr w14:paraId="2E548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12E65">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存在问题</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D253BC4">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18F4D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15492">
            <w:pPr>
              <w:keepNext w:val="0"/>
              <w:keepLines w:val="0"/>
              <w:widowControl/>
              <w:suppressLineNumbers w:val="0"/>
              <w:snapToGrid w:val="0"/>
              <w:jc w:val="center"/>
              <w:textAlignment w:val="center"/>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改进措施</w:t>
            </w:r>
          </w:p>
        </w:tc>
        <w:tc>
          <w:tcPr>
            <w:tcW w:w="467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FE9E609">
            <w:pPr>
              <w:keepNext w:val="0"/>
              <w:keepLines w:val="0"/>
              <w:widowControl/>
              <w:suppressLineNumbers w:val="0"/>
              <w:snapToGrid w:val="0"/>
              <w:jc w:val="left"/>
              <w:textAlignment w:val="center"/>
              <w:rPr>
                <w:rFonts w:hint="eastAsia" w:ascii="微软雅黑" w:hAnsi="微软雅黑" w:eastAsia="微软雅黑" w:cs="微软雅黑"/>
                <w:i/>
                <w:iCs/>
                <w:color w:val="000000"/>
                <w:sz w:val="16"/>
                <w:szCs w:val="16"/>
                <w:u w:val="none"/>
              </w:rPr>
            </w:pPr>
            <w:r>
              <w:rPr>
                <w:rFonts w:hint="eastAsia" w:ascii="微软雅黑" w:hAnsi="微软雅黑" w:eastAsia="微软雅黑" w:cs="微软雅黑"/>
                <w:i/>
                <w:iCs/>
                <w:color w:val="000000"/>
                <w:kern w:val="0"/>
                <w:sz w:val="16"/>
                <w:szCs w:val="16"/>
                <w:u w:val="none"/>
                <w:lang w:val="en-US" w:eastAsia="zh-CN" w:bidi="ar"/>
              </w:rPr>
              <w:t>无</w:t>
            </w:r>
          </w:p>
        </w:tc>
      </w:tr>
      <w:tr w14:paraId="5A5B1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4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8511EF2">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项目负责人：余彪</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38F7BF5">
            <w:pPr>
              <w:keepNext w:val="0"/>
              <w:keepLines w:val="0"/>
              <w:widowControl/>
              <w:suppressLineNumbers w:val="0"/>
              <w:snapToGrid w:val="0"/>
              <w:jc w:val="left"/>
              <w:textAlignment w:val="center"/>
              <w:rPr>
                <w:rFonts w:hint="eastAsia" w:ascii="黑体" w:hAnsi="黑体" w:eastAsia="黑体" w:cs="黑体"/>
                <w:i w:val="0"/>
                <w:iCs w:val="0"/>
                <w:color w:val="000000"/>
                <w:sz w:val="18"/>
                <w:szCs w:val="18"/>
                <w:u w:val="none"/>
              </w:rPr>
            </w:pPr>
            <w:r>
              <w:rPr>
                <w:rFonts w:hint="eastAsia" w:ascii="黑体" w:hAnsi="黑体" w:eastAsia="黑体" w:cs="黑体"/>
                <w:i w:val="0"/>
                <w:iCs w:val="0"/>
                <w:color w:val="000000"/>
                <w:kern w:val="0"/>
                <w:sz w:val="18"/>
                <w:szCs w:val="18"/>
                <w:u w:val="none"/>
                <w:lang w:val="en-US" w:eastAsia="zh-CN" w:bidi="ar"/>
              </w:rPr>
              <w:t>财务负责人：李箬晗</w:t>
            </w:r>
          </w:p>
        </w:tc>
      </w:tr>
    </w:tbl>
    <w:p w14:paraId="74727FA2">
      <w:pPr>
        <w:pStyle w:val="2"/>
        <w:rPr>
          <w:rFonts w:hint="eastAsia" w:ascii="Times New Roman" w:hAnsi="Times New Roman" w:eastAsia="黑体" w:cs="黑体"/>
          <w:color w:val="auto"/>
          <w:kern w:val="0"/>
          <w:sz w:val="32"/>
          <w:szCs w:val="32"/>
          <w:highlight w:val="none"/>
          <w:shd w:val="clear" w:color="auto" w:fill="FFFFFF"/>
          <w:lang w:val="en-US" w:eastAsia="zh-CN"/>
        </w:rPr>
      </w:pPr>
    </w:p>
    <w:p w14:paraId="5137EB9F">
      <w:pPr>
        <w:pStyle w:val="37"/>
        <w:keepNext w:val="0"/>
        <w:keepLines w:val="0"/>
        <w:pageBreakBefore w:val="0"/>
        <w:widowControl w:val="0"/>
        <w:kinsoku/>
        <w:wordWrap/>
        <w:overflowPunct/>
        <w:topLinePunct w:val="0"/>
        <w:autoSpaceDE/>
        <w:autoSpaceDN/>
        <w:bidi w:val="0"/>
        <w:spacing w:line="578" w:lineRule="exact"/>
        <w:ind w:left="0" w:leftChars="0"/>
        <w:jc w:val="center"/>
        <w:textAlignment w:val="auto"/>
        <w:rPr>
          <w:rFonts w:hint="eastAsia" w:ascii="Times New Roman" w:hAnsi="Times New Roman" w:eastAsia="方正小标宋简体" w:cs="方正小标宋简体"/>
          <w:color w:val="auto"/>
          <w:kern w:val="2"/>
          <w:sz w:val="44"/>
          <w:szCs w:val="44"/>
          <w:highlight w:val="none"/>
          <w:lang w:val="en-US" w:eastAsia="zh-CN"/>
        </w:rPr>
      </w:pPr>
    </w:p>
    <w:p w14:paraId="3CB838BF">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p>
    <w:p w14:paraId="6E90FD73">
      <w:pPr>
        <w:keepNext w:val="0"/>
        <w:keepLines w:val="0"/>
        <w:pageBreakBefore w:val="0"/>
        <w:widowControl w:val="0"/>
        <w:kinsoku/>
        <w:wordWrap/>
        <w:overflowPunct/>
        <w:topLinePunct w:val="0"/>
        <w:autoSpaceDE/>
        <w:autoSpaceDN/>
        <w:bidi w:val="0"/>
        <w:spacing w:line="578" w:lineRule="exact"/>
        <w:ind w:firstLine="640"/>
        <w:textAlignment w:val="auto"/>
        <w:outlineLvl w:val="9"/>
        <w:rPr>
          <w:rFonts w:hint="eastAsia" w:ascii="Times New Roman" w:hAnsi="Times New Roman" w:eastAsia="仿宋_GB2312" w:cs="仿宋_GB2312"/>
          <w:b w:val="0"/>
          <w:bCs w:val="0"/>
          <w:kern w:val="0"/>
          <w:position w:val="0"/>
          <w:sz w:val="32"/>
          <w:szCs w:val="32"/>
          <w:highlight w:val="none"/>
          <w:lang w:val="en-US" w:eastAsia="zh-CN" w:bidi="ar-SA"/>
        </w:rPr>
      </w:pPr>
      <w:bookmarkStart w:id="47" w:name="_Toc15396618"/>
      <w:r>
        <w:rPr>
          <w:rFonts w:hint="eastAsia" w:ascii="Times New Roman" w:hAnsi="Times New Roman" w:eastAsia="仿宋_GB2312" w:cs="仿宋_GB2312"/>
          <w:b w:val="0"/>
          <w:bCs w:val="0"/>
          <w:kern w:val="0"/>
          <w:position w:val="0"/>
          <w:sz w:val="32"/>
          <w:szCs w:val="32"/>
          <w:highlight w:val="none"/>
          <w:lang w:val="en-US" w:eastAsia="zh-CN" w:bidi="ar-SA"/>
        </w:rPr>
        <w:br w:type="page"/>
      </w:r>
    </w:p>
    <w:p w14:paraId="0CDDA411">
      <w:pPr>
        <w:widowControl/>
        <w:jc w:val="center"/>
        <w:outlineLvl w:val="0"/>
        <w:rPr>
          <w:rFonts w:hint="eastAsia" w:ascii="Times New Roman" w:hAnsi="Times New Roman" w:eastAsia="仿宋"/>
          <w:b w:val="0"/>
          <w:color w:val="auto"/>
          <w:highlight w:val="none"/>
        </w:rPr>
      </w:pPr>
      <w:r>
        <w:rPr>
          <w:rFonts w:hint="eastAsia" w:ascii="Times New Roman" w:hAnsi="Times New Roman" w:eastAsia="黑体"/>
          <w:color w:val="auto"/>
          <w:sz w:val="44"/>
          <w:szCs w:val="44"/>
          <w:highlight w:val="none"/>
        </w:rPr>
        <w:t>第</w:t>
      </w:r>
      <w:r>
        <w:rPr>
          <w:rStyle w:val="31"/>
          <w:rFonts w:hint="eastAsia" w:ascii="Times New Roman" w:hAnsi="Times New Roman" w:eastAsia="黑体"/>
          <w:b w:val="0"/>
          <w:color w:val="auto"/>
          <w:highlight w:val="none"/>
        </w:rPr>
        <w:t>五部分 附表</w:t>
      </w:r>
      <w:bookmarkEnd w:id="44"/>
      <w:bookmarkEnd w:id="47"/>
      <w:bookmarkStart w:id="48" w:name="_Toc15396619"/>
    </w:p>
    <w:p w14:paraId="6894AE4B">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p>
    <w:p w14:paraId="0C36D4CC">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一、收入支出决算总表</w:t>
      </w:r>
      <w:bookmarkEnd w:id="48"/>
    </w:p>
    <w:p w14:paraId="08129663">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49" w:name="_Toc15396620"/>
      <w:r>
        <w:rPr>
          <w:rFonts w:hint="eastAsia" w:ascii="Times New Roman" w:hAnsi="Times New Roman" w:eastAsia="仿宋_GB2312" w:cs="仿宋_GB2312"/>
          <w:color w:val="auto"/>
          <w:sz w:val="32"/>
          <w:szCs w:val="32"/>
          <w:highlight w:val="none"/>
        </w:rPr>
        <w:t>二、收入决算表</w:t>
      </w:r>
      <w:bookmarkEnd w:id="49"/>
    </w:p>
    <w:p w14:paraId="44A07417">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0" w:name="_Toc15396621"/>
      <w:r>
        <w:rPr>
          <w:rFonts w:hint="eastAsia" w:ascii="Times New Roman" w:hAnsi="Times New Roman" w:eastAsia="仿宋_GB2312" w:cs="仿宋_GB2312"/>
          <w:color w:val="auto"/>
          <w:sz w:val="32"/>
          <w:szCs w:val="32"/>
          <w:highlight w:val="none"/>
        </w:rPr>
        <w:t>三、支出决算表</w:t>
      </w:r>
      <w:bookmarkEnd w:id="50"/>
    </w:p>
    <w:p w14:paraId="1F2A67C9">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1" w:name="_Toc15396622"/>
      <w:r>
        <w:rPr>
          <w:rFonts w:hint="eastAsia" w:ascii="Times New Roman" w:hAnsi="Times New Roman" w:eastAsia="仿宋_GB2312" w:cs="仿宋_GB2312"/>
          <w:color w:val="auto"/>
          <w:sz w:val="32"/>
          <w:szCs w:val="32"/>
          <w:highlight w:val="none"/>
        </w:rPr>
        <w:t>四、财政拨款收入支出决算总表</w:t>
      </w:r>
      <w:bookmarkEnd w:id="51"/>
    </w:p>
    <w:p w14:paraId="59AAFDC9">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2" w:name="_Toc15396623"/>
      <w:r>
        <w:rPr>
          <w:rFonts w:hint="eastAsia" w:ascii="Times New Roman" w:hAnsi="Times New Roman" w:eastAsia="仿宋_GB2312" w:cs="仿宋_GB2312"/>
          <w:color w:val="auto"/>
          <w:sz w:val="32"/>
          <w:szCs w:val="32"/>
          <w:highlight w:val="none"/>
        </w:rPr>
        <w:t>五、财政拨款支出决算明细表</w:t>
      </w:r>
      <w:bookmarkEnd w:id="52"/>
      <w:bookmarkStart w:id="53" w:name="_Toc15396624"/>
    </w:p>
    <w:p w14:paraId="049316FC">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六、一般公共预算财政拨款支出决算表</w:t>
      </w:r>
      <w:bookmarkEnd w:id="53"/>
    </w:p>
    <w:p w14:paraId="45324541">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4" w:name="_Toc15396625"/>
      <w:r>
        <w:rPr>
          <w:rFonts w:hint="eastAsia" w:ascii="Times New Roman" w:hAnsi="Times New Roman" w:eastAsia="仿宋_GB2312" w:cs="仿宋_GB2312"/>
          <w:color w:val="auto"/>
          <w:sz w:val="32"/>
          <w:szCs w:val="32"/>
          <w:highlight w:val="none"/>
        </w:rPr>
        <w:t>七、一般公共预算财政拨款支出决算明细表</w:t>
      </w:r>
      <w:bookmarkEnd w:id="54"/>
    </w:p>
    <w:p w14:paraId="0C212451">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5" w:name="_Toc15396626"/>
      <w:r>
        <w:rPr>
          <w:rFonts w:hint="eastAsia" w:ascii="Times New Roman" w:hAnsi="Times New Roman" w:eastAsia="仿宋_GB2312" w:cs="仿宋_GB2312"/>
          <w:color w:val="auto"/>
          <w:sz w:val="32"/>
          <w:szCs w:val="32"/>
          <w:highlight w:val="none"/>
        </w:rPr>
        <w:t>八、一般公共预算财政拨款基本支出决算表</w:t>
      </w:r>
      <w:bookmarkEnd w:id="55"/>
    </w:p>
    <w:p w14:paraId="39654A6E">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6" w:name="_Toc15396627"/>
      <w:r>
        <w:rPr>
          <w:rFonts w:hint="eastAsia" w:ascii="Times New Roman" w:hAnsi="Times New Roman" w:eastAsia="仿宋_GB2312" w:cs="仿宋_GB2312"/>
          <w:color w:val="auto"/>
          <w:sz w:val="32"/>
          <w:szCs w:val="32"/>
          <w:highlight w:val="none"/>
        </w:rPr>
        <w:t>九、一般公共预算财政拨款项目支出决算表</w:t>
      </w:r>
      <w:bookmarkEnd w:id="56"/>
    </w:p>
    <w:p w14:paraId="355B45C8">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7" w:name="_Toc15396628"/>
      <w:r>
        <w:rPr>
          <w:rFonts w:hint="eastAsia" w:ascii="Times New Roman" w:hAnsi="Times New Roman" w:eastAsia="仿宋_GB2312" w:cs="仿宋_GB2312"/>
          <w:color w:val="auto"/>
          <w:sz w:val="32"/>
          <w:szCs w:val="32"/>
          <w:highlight w:val="none"/>
        </w:rPr>
        <w:t>十、</w:t>
      </w:r>
      <w:bookmarkEnd w:id="57"/>
      <w:r>
        <w:rPr>
          <w:rFonts w:hint="eastAsia" w:ascii="Times New Roman" w:hAnsi="Times New Roman" w:eastAsia="仿宋_GB2312" w:cs="仿宋_GB2312"/>
          <w:color w:val="auto"/>
          <w:sz w:val="32"/>
          <w:szCs w:val="32"/>
          <w:highlight w:val="none"/>
        </w:rPr>
        <w:t>政府性基金预算财政拨款收入支出决算表</w:t>
      </w:r>
    </w:p>
    <w:p w14:paraId="466EDAA4">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8" w:name="_Toc15396629"/>
      <w:r>
        <w:rPr>
          <w:rFonts w:hint="eastAsia" w:ascii="Times New Roman" w:hAnsi="Times New Roman" w:eastAsia="仿宋_GB2312" w:cs="仿宋_GB2312"/>
          <w:color w:val="auto"/>
          <w:sz w:val="32"/>
          <w:szCs w:val="32"/>
          <w:highlight w:val="none"/>
        </w:rPr>
        <w:t>十一、</w:t>
      </w:r>
      <w:bookmarkEnd w:id="58"/>
      <w:r>
        <w:rPr>
          <w:rFonts w:hint="eastAsia" w:ascii="Times New Roman" w:hAnsi="Times New Roman" w:eastAsia="仿宋_GB2312" w:cs="仿宋_GB2312"/>
          <w:color w:val="auto"/>
          <w:sz w:val="32"/>
          <w:szCs w:val="32"/>
          <w:highlight w:val="none"/>
        </w:rPr>
        <w:t>国有资本经营预算</w:t>
      </w:r>
      <w:r>
        <w:rPr>
          <w:rFonts w:hint="eastAsia" w:ascii="Times New Roman" w:hAnsi="Times New Roman" w:eastAsia="仿宋_GB2312" w:cs="仿宋_GB2312"/>
          <w:color w:val="auto"/>
          <w:sz w:val="32"/>
          <w:szCs w:val="32"/>
          <w:highlight w:val="none"/>
          <w:lang w:eastAsia="zh-CN"/>
        </w:rPr>
        <w:t>财政拨款收入</w:t>
      </w:r>
      <w:r>
        <w:rPr>
          <w:rFonts w:hint="eastAsia" w:ascii="Times New Roman" w:hAnsi="Times New Roman" w:eastAsia="仿宋_GB2312" w:cs="仿宋_GB2312"/>
          <w:color w:val="auto"/>
          <w:sz w:val="32"/>
          <w:szCs w:val="32"/>
          <w:highlight w:val="none"/>
        </w:rPr>
        <w:t>支出决算表</w:t>
      </w:r>
    </w:p>
    <w:p w14:paraId="676AAF1F">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rPr>
      </w:pPr>
      <w:bookmarkStart w:id="59" w:name="_Toc15396630"/>
      <w:r>
        <w:rPr>
          <w:rFonts w:hint="eastAsia" w:ascii="Times New Roman" w:hAnsi="Times New Roman" w:eastAsia="仿宋_GB2312" w:cs="仿宋_GB2312"/>
          <w:color w:val="auto"/>
          <w:sz w:val="32"/>
          <w:szCs w:val="32"/>
          <w:highlight w:val="none"/>
        </w:rPr>
        <w:t>十二、</w:t>
      </w:r>
      <w:bookmarkEnd w:id="59"/>
      <w:r>
        <w:rPr>
          <w:rFonts w:hint="eastAsia" w:ascii="Times New Roman" w:hAnsi="Times New Roman" w:eastAsia="仿宋_GB2312" w:cs="仿宋_GB2312"/>
          <w:color w:val="auto"/>
          <w:sz w:val="32"/>
          <w:szCs w:val="32"/>
          <w:highlight w:val="none"/>
          <w:lang w:eastAsia="zh-CN"/>
        </w:rPr>
        <w:t>国有资本经营预算财政拨款支出决算表</w:t>
      </w:r>
    </w:p>
    <w:p w14:paraId="4B13DD65">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Times New Roman" w:hAnsi="Times New Roman" w:eastAsia="仿宋_GB2312" w:cs="仿宋_GB2312"/>
          <w:color w:val="auto"/>
          <w:sz w:val="32"/>
          <w:szCs w:val="32"/>
          <w:highlight w:val="none"/>
          <w:lang w:eastAsia="zh-CN"/>
        </w:rPr>
      </w:pPr>
      <w:bookmarkStart w:id="60" w:name="_Toc15396631"/>
      <w:r>
        <w:rPr>
          <w:rFonts w:hint="eastAsia" w:ascii="Times New Roman" w:hAnsi="Times New Roman" w:eastAsia="仿宋_GB2312" w:cs="仿宋_GB2312"/>
          <w:color w:val="auto"/>
          <w:sz w:val="32"/>
          <w:szCs w:val="32"/>
          <w:highlight w:val="none"/>
        </w:rPr>
        <w:t>十三、</w:t>
      </w:r>
      <w:bookmarkEnd w:id="60"/>
      <w:r>
        <w:rPr>
          <w:rFonts w:hint="eastAsia" w:ascii="Times New Roman" w:hAnsi="Times New Roman" w:eastAsia="仿宋_GB2312" w:cs="仿宋_GB2312"/>
          <w:color w:val="auto"/>
          <w:sz w:val="32"/>
          <w:szCs w:val="32"/>
          <w:highlight w:val="none"/>
          <w:lang w:eastAsia="zh-CN"/>
        </w:rPr>
        <w:t>财政拨款“三公”经费支出决算表</w:t>
      </w:r>
    </w:p>
    <w:p w14:paraId="50A24D68">
      <w:pPr>
        <w:rPr>
          <w:rFonts w:hint="eastAsia" w:ascii="Times New Roman" w:hAnsi="Times New Roman"/>
          <w:lang w:eastAsia="zh-CN"/>
        </w:rPr>
      </w:pPr>
    </w:p>
    <w:sectPr>
      <w:footerReference r:id="rId5" w:type="first"/>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FE262">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DFF8B5">
                          <w:pPr>
                            <w:pStyle w:val="10"/>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31DFF8B5">
                    <w:pPr>
                      <w:pStyle w:val="10"/>
                    </w:pPr>
                    <w:r>
                      <w:fldChar w:fldCharType="begin"/>
                    </w:r>
                    <w:r>
                      <w:instrText xml:space="preserve"> PAGE  \* MERGEFORMAT </w:instrText>
                    </w:r>
                    <w:r>
                      <w:fldChar w:fldCharType="separate"/>
                    </w:r>
                    <w:r>
                      <w:t>- 2 -</w:t>
                    </w:r>
                    <w:r>
                      <w:fldChar w:fldCharType="end"/>
                    </w:r>
                  </w:p>
                </w:txbxContent>
              </v:textbox>
            </v:shape>
          </w:pict>
        </mc:Fallback>
      </mc:AlternateContent>
    </w:r>
  </w:p>
  <w:p w14:paraId="1D310310">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80A8BC">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36E0BC">
                          <w:pPr>
                            <w:pStyle w:val="10"/>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36E0BC">
                    <w:pPr>
                      <w:pStyle w:val="10"/>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CC2626">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6DFA9C"/>
    <w:multiLevelType w:val="singleLevel"/>
    <w:tmpl w:val="A96DFA9C"/>
    <w:lvl w:ilvl="0" w:tentative="0">
      <w:start w:val="1"/>
      <w:numFmt w:val="chineseCounting"/>
      <w:suff w:val="nothing"/>
      <w:lvlText w:val="（%1）"/>
      <w:lvlJc w:val="left"/>
      <w:rPr>
        <w:rFonts w:hint="eastAsia"/>
      </w:rPr>
    </w:lvl>
  </w:abstractNum>
  <w:abstractNum w:abstractNumId="1">
    <w:nsid w:val="BA9469BA"/>
    <w:multiLevelType w:val="singleLevel"/>
    <w:tmpl w:val="BA9469BA"/>
    <w:lvl w:ilvl="0" w:tentative="0">
      <w:start w:val="2"/>
      <w:numFmt w:val="decimal"/>
      <w:suff w:val="nothing"/>
      <w:lvlText w:val="%1．"/>
      <w:lvlJc w:val="left"/>
    </w:lvl>
  </w:abstractNum>
  <w:abstractNum w:abstractNumId="2">
    <w:nsid w:val="02772FF8"/>
    <w:multiLevelType w:val="multilevel"/>
    <w:tmpl w:val="02772FF8"/>
    <w:lvl w:ilvl="0" w:tentative="0">
      <w:start w:val="1"/>
      <w:numFmt w:val="japaneseCounting"/>
      <w:lvlText w:val="%1、"/>
      <w:lvlJc w:val="left"/>
      <w:pPr>
        <w:ind w:left="1440" w:hanging="720"/>
      </w:pPr>
      <w:rPr>
        <w:rFonts w:hint="default"/>
      </w:rPr>
    </w:lvl>
    <w:lvl w:ilvl="1" w:tentative="0">
      <w:start w:val="1"/>
      <w:numFmt w:val="lowerLetter"/>
      <w:lvlText w:val="%2)"/>
      <w:lvlJc w:val="left"/>
      <w:pPr>
        <w:ind w:left="1600" w:hanging="440"/>
      </w:pPr>
    </w:lvl>
    <w:lvl w:ilvl="2" w:tentative="0">
      <w:start w:val="1"/>
      <w:numFmt w:val="lowerRoman"/>
      <w:lvlText w:val="%3."/>
      <w:lvlJc w:val="right"/>
      <w:pPr>
        <w:ind w:left="2040" w:hanging="440"/>
      </w:pPr>
    </w:lvl>
    <w:lvl w:ilvl="3" w:tentative="0">
      <w:start w:val="1"/>
      <w:numFmt w:val="decimal"/>
      <w:lvlText w:val="%4."/>
      <w:lvlJc w:val="left"/>
      <w:pPr>
        <w:ind w:left="2480" w:hanging="440"/>
      </w:pPr>
    </w:lvl>
    <w:lvl w:ilvl="4" w:tentative="0">
      <w:start w:val="1"/>
      <w:numFmt w:val="lowerLetter"/>
      <w:lvlText w:val="%5)"/>
      <w:lvlJc w:val="left"/>
      <w:pPr>
        <w:ind w:left="2920" w:hanging="440"/>
      </w:pPr>
    </w:lvl>
    <w:lvl w:ilvl="5" w:tentative="0">
      <w:start w:val="1"/>
      <w:numFmt w:val="lowerRoman"/>
      <w:lvlText w:val="%6."/>
      <w:lvlJc w:val="right"/>
      <w:pPr>
        <w:ind w:left="3360" w:hanging="440"/>
      </w:pPr>
    </w:lvl>
    <w:lvl w:ilvl="6" w:tentative="0">
      <w:start w:val="1"/>
      <w:numFmt w:val="decimal"/>
      <w:lvlText w:val="%7."/>
      <w:lvlJc w:val="left"/>
      <w:pPr>
        <w:ind w:left="3800" w:hanging="440"/>
      </w:pPr>
    </w:lvl>
    <w:lvl w:ilvl="7" w:tentative="0">
      <w:start w:val="1"/>
      <w:numFmt w:val="lowerLetter"/>
      <w:lvlText w:val="%8)"/>
      <w:lvlJc w:val="left"/>
      <w:pPr>
        <w:ind w:left="4240" w:hanging="440"/>
      </w:pPr>
    </w:lvl>
    <w:lvl w:ilvl="8" w:tentative="0">
      <w:start w:val="1"/>
      <w:numFmt w:val="lowerRoman"/>
      <w:lvlText w:val="%9."/>
      <w:lvlJc w:val="right"/>
      <w:pPr>
        <w:ind w:left="4680" w:hanging="440"/>
      </w:pPr>
    </w:lvl>
  </w:abstractNum>
  <w:abstractNum w:abstractNumId="3">
    <w:nsid w:val="0593380C"/>
    <w:multiLevelType w:val="singleLevel"/>
    <w:tmpl w:val="0593380C"/>
    <w:lvl w:ilvl="0" w:tentative="0">
      <w:start w:val="1"/>
      <w:numFmt w:val="chineseCounting"/>
      <w:suff w:val="nothing"/>
      <w:lvlText w:val="%1、"/>
      <w:lvlJc w:val="left"/>
      <w:rPr>
        <w:rFonts w:hint="eastAsia"/>
      </w:rPr>
    </w:lvl>
  </w:abstractNum>
  <w:abstractNum w:abstractNumId="4">
    <w:nsid w:val="3818A09A"/>
    <w:multiLevelType w:val="singleLevel"/>
    <w:tmpl w:val="3818A09A"/>
    <w:lvl w:ilvl="0" w:tentative="0">
      <w:start w:val="1"/>
      <w:numFmt w:val="chineseCounting"/>
      <w:suff w:val="nothing"/>
      <w:lvlText w:val="%1、"/>
      <w:lvlJc w:val="left"/>
      <w:rPr>
        <w:rFonts w:hint="eastAsia"/>
      </w:rPr>
    </w:lvl>
  </w:abstractNum>
  <w:abstractNum w:abstractNumId="5">
    <w:nsid w:val="5748146A"/>
    <w:multiLevelType w:val="singleLevel"/>
    <w:tmpl w:val="5748146A"/>
    <w:lvl w:ilvl="0" w:tentative="0">
      <w:start w:val="2"/>
      <w:numFmt w:val="decimal"/>
      <w:suff w:val="nothing"/>
      <w:lvlText w:val="%1、"/>
      <w:lvlJc w:val="left"/>
    </w:lvl>
  </w:abstractNum>
  <w:num w:numId="1">
    <w:abstractNumId w:val="4"/>
  </w:num>
  <w:num w:numId="2">
    <w:abstractNumId w:val="1"/>
  </w:num>
  <w:num w:numId="3">
    <w:abstractNumId w:val="5"/>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2"/>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344"/>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49A0F0E"/>
    <w:rsid w:val="05694EAA"/>
    <w:rsid w:val="061E35DE"/>
    <w:rsid w:val="066E0107"/>
    <w:rsid w:val="07996F6E"/>
    <w:rsid w:val="07BC1AC0"/>
    <w:rsid w:val="07DFD8BA"/>
    <w:rsid w:val="09867E8F"/>
    <w:rsid w:val="0A2032A3"/>
    <w:rsid w:val="0CA8290A"/>
    <w:rsid w:val="0D35B1ED"/>
    <w:rsid w:val="0E254B6B"/>
    <w:rsid w:val="0F98263C"/>
    <w:rsid w:val="101860EC"/>
    <w:rsid w:val="101F47CC"/>
    <w:rsid w:val="10C055FF"/>
    <w:rsid w:val="11694EBD"/>
    <w:rsid w:val="11772AA4"/>
    <w:rsid w:val="118107EC"/>
    <w:rsid w:val="12E24EE2"/>
    <w:rsid w:val="13D50BC4"/>
    <w:rsid w:val="14B17F78"/>
    <w:rsid w:val="165E0673"/>
    <w:rsid w:val="16B831D5"/>
    <w:rsid w:val="16BB723D"/>
    <w:rsid w:val="17E50567"/>
    <w:rsid w:val="186504BB"/>
    <w:rsid w:val="19A445FC"/>
    <w:rsid w:val="1BB51976"/>
    <w:rsid w:val="1BE8440E"/>
    <w:rsid w:val="1D155CEE"/>
    <w:rsid w:val="1D1638FE"/>
    <w:rsid w:val="1E312DEB"/>
    <w:rsid w:val="1E740ACF"/>
    <w:rsid w:val="1FF35744"/>
    <w:rsid w:val="1FF6BC77"/>
    <w:rsid w:val="2186353C"/>
    <w:rsid w:val="23860B96"/>
    <w:rsid w:val="240371BF"/>
    <w:rsid w:val="244F3473"/>
    <w:rsid w:val="24C97D99"/>
    <w:rsid w:val="25A718F0"/>
    <w:rsid w:val="25BB59F6"/>
    <w:rsid w:val="260F557C"/>
    <w:rsid w:val="261A1167"/>
    <w:rsid w:val="26970054"/>
    <w:rsid w:val="281408E2"/>
    <w:rsid w:val="29FD04D3"/>
    <w:rsid w:val="2BFF7BC6"/>
    <w:rsid w:val="2C8A61B5"/>
    <w:rsid w:val="2D6055AE"/>
    <w:rsid w:val="2DF04E50"/>
    <w:rsid w:val="2E586DFA"/>
    <w:rsid w:val="2F040D46"/>
    <w:rsid w:val="2F6B035B"/>
    <w:rsid w:val="2FAE5751"/>
    <w:rsid w:val="2FB1A395"/>
    <w:rsid w:val="2FD9A7D8"/>
    <w:rsid w:val="2FDBF714"/>
    <w:rsid w:val="30AB6865"/>
    <w:rsid w:val="3188725B"/>
    <w:rsid w:val="319F7F4E"/>
    <w:rsid w:val="321C6A2B"/>
    <w:rsid w:val="32BD1EF1"/>
    <w:rsid w:val="32F901F1"/>
    <w:rsid w:val="3304709D"/>
    <w:rsid w:val="33A773CB"/>
    <w:rsid w:val="349D6851"/>
    <w:rsid w:val="36AA5135"/>
    <w:rsid w:val="36BE0DA7"/>
    <w:rsid w:val="372373FC"/>
    <w:rsid w:val="376B6AA6"/>
    <w:rsid w:val="376D39B2"/>
    <w:rsid w:val="37E16F03"/>
    <w:rsid w:val="37F53A3B"/>
    <w:rsid w:val="389B6C89"/>
    <w:rsid w:val="38D469F0"/>
    <w:rsid w:val="39627CCD"/>
    <w:rsid w:val="397BAF1F"/>
    <w:rsid w:val="3AB79AF3"/>
    <w:rsid w:val="3AE834C0"/>
    <w:rsid w:val="3B7EF35A"/>
    <w:rsid w:val="3B9FDB6C"/>
    <w:rsid w:val="3BF5BC2F"/>
    <w:rsid w:val="3C014E74"/>
    <w:rsid w:val="3CEBA265"/>
    <w:rsid w:val="3D98207C"/>
    <w:rsid w:val="3DEE7CF3"/>
    <w:rsid w:val="3E740A63"/>
    <w:rsid w:val="3E78745D"/>
    <w:rsid w:val="3EE17838"/>
    <w:rsid w:val="3F55381A"/>
    <w:rsid w:val="3F7F7599"/>
    <w:rsid w:val="3FF4CAE0"/>
    <w:rsid w:val="3FF7B227"/>
    <w:rsid w:val="44E268DA"/>
    <w:rsid w:val="450D13D7"/>
    <w:rsid w:val="45506656"/>
    <w:rsid w:val="486A6C7A"/>
    <w:rsid w:val="4A627F82"/>
    <w:rsid w:val="4B0E749A"/>
    <w:rsid w:val="4B2477C4"/>
    <w:rsid w:val="4B4F25DA"/>
    <w:rsid w:val="4BE068DB"/>
    <w:rsid w:val="4D577224"/>
    <w:rsid w:val="4DBF1CEB"/>
    <w:rsid w:val="4DF0007C"/>
    <w:rsid w:val="4EAB630A"/>
    <w:rsid w:val="4ECE2238"/>
    <w:rsid w:val="4F833267"/>
    <w:rsid w:val="4FE9BD67"/>
    <w:rsid w:val="4FFB052F"/>
    <w:rsid w:val="537E6D0A"/>
    <w:rsid w:val="53F74C96"/>
    <w:rsid w:val="55170BA8"/>
    <w:rsid w:val="553218C9"/>
    <w:rsid w:val="567E1AA5"/>
    <w:rsid w:val="56E47B74"/>
    <w:rsid w:val="57175D52"/>
    <w:rsid w:val="57BD3DD4"/>
    <w:rsid w:val="59E76AF9"/>
    <w:rsid w:val="5AF92295"/>
    <w:rsid w:val="5B250254"/>
    <w:rsid w:val="5BDD79E6"/>
    <w:rsid w:val="5BF561CA"/>
    <w:rsid w:val="5BFF5DFC"/>
    <w:rsid w:val="5C742D61"/>
    <w:rsid w:val="5CD71FC4"/>
    <w:rsid w:val="5D1F11B5"/>
    <w:rsid w:val="5D695134"/>
    <w:rsid w:val="5DAE1B18"/>
    <w:rsid w:val="5DE7D9E5"/>
    <w:rsid w:val="5ECEC941"/>
    <w:rsid w:val="5FBF9FF3"/>
    <w:rsid w:val="5FCD4E2C"/>
    <w:rsid w:val="5FEF394A"/>
    <w:rsid w:val="5FF67715"/>
    <w:rsid w:val="617D5348"/>
    <w:rsid w:val="62BF3928"/>
    <w:rsid w:val="63B3701E"/>
    <w:rsid w:val="647F5392"/>
    <w:rsid w:val="65E66580"/>
    <w:rsid w:val="66137456"/>
    <w:rsid w:val="664B1D71"/>
    <w:rsid w:val="664B4E8E"/>
    <w:rsid w:val="67277B67"/>
    <w:rsid w:val="67AA3209"/>
    <w:rsid w:val="698D0931"/>
    <w:rsid w:val="6A7FE5F3"/>
    <w:rsid w:val="6B053271"/>
    <w:rsid w:val="6BDD78B3"/>
    <w:rsid w:val="6C4A05C8"/>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057209F"/>
    <w:rsid w:val="712A28F1"/>
    <w:rsid w:val="715C0E4B"/>
    <w:rsid w:val="71992E7C"/>
    <w:rsid w:val="72233669"/>
    <w:rsid w:val="72734D90"/>
    <w:rsid w:val="73160E6D"/>
    <w:rsid w:val="7332FE48"/>
    <w:rsid w:val="73AB61DA"/>
    <w:rsid w:val="73AD73D5"/>
    <w:rsid w:val="73B6EB34"/>
    <w:rsid w:val="73FA497D"/>
    <w:rsid w:val="744731E5"/>
    <w:rsid w:val="74BBD01D"/>
    <w:rsid w:val="74ED5379"/>
    <w:rsid w:val="7584415A"/>
    <w:rsid w:val="75DEEEC2"/>
    <w:rsid w:val="75E32345"/>
    <w:rsid w:val="76A72C39"/>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5"/>
    <w:unhideWhenUsed/>
    <w:qFormat/>
    <w:uiPriority w:val="9"/>
    <w:pPr>
      <w:keepNext/>
      <w:keepLines/>
      <w:spacing w:before="260" w:after="260" w:line="416" w:lineRule="auto"/>
      <w:outlineLvl w:val="2"/>
    </w:pPr>
    <w:rPr>
      <w:b/>
      <w:bCs/>
      <w:sz w:val="32"/>
      <w:szCs w:val="32"/>
    </w:rPr>
  </w:style>
  <w:style w:type="character" w:default="1" w:styleId="17">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8"/>
    <w:qFormat/>
    <w:uiPriority w:val="99"/>
    <w:pPr>
      <w:spacing w:beforeLines="30"/>
    </w:pPr>
    <w:rPr>
      <w:rFonts w:ascii="仿宋_GB2312" w:eastAsia="仿宋_GB2312"/>
      <w:kern w:val="0"/>
      <w:sz w:val="30"/>
    </w:rPr>
  </w:style>
  <w:style w:type="paragraph" w:styleId="6">
    <w:name w:val="Body Text Indent"/>
    <w:basedOn w:val="1"/>
    <w:next w:val="7"/>
    <w:qFormat/>
    <w:uiPriority w:val="0"/>
    <w:pPr>
      <w:spacing w:after="120"/>
      <w:ind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4"/>
    <w:semiHidden/>
    <w:unhideWhenUsed/>
    <w:qFormat/>
    <w:uiPriority w:val="99"/>
    <w:rPr>
      <w:sz w:val="18"/>
      <w:szCs w:val="18"/>
    </w:rPr>
  </w:style>
  <w:style w:type="paragraph" w:styleId="10">
    <w:name w:val="footer"/>
    <w:basedOn w:val="1"/>
    <w:link w:val="26"/>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4"/>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footnote text"/>
    <w:basedOn w:val="1"/>
    <w:next w:val="7"/>
    <w:semiHidden/>
    <w:qFormat/>
    <w:uiPriority w:val="0"/>
    <w:pPr>
      <w:snapToGrid w:val="0"/>
      <w:jc w:val="left"/>
    </w:pPr>
    <w:rPr>
      <w:sz w:val="18"/>
      <w:szCs w:val="18"/>
    </w:rPr>
  </w:style>
  <w:style w:type="paragraph" w:styleId="14">
    <w:name w:val="toc 2"/>
    <w:basedOn w:val="1"/>
    <w:next w:val="1"/>
    <w:unhideWhenUsed/>
    <w:qFormat/>
    <w:uiPriority w:val="39"/>
    <w:pPr>
      <w:tabs>
        <w:tab w:val="right" w:leader="dot" w:pos="8296"/>
      </w:tabs>
      <w:ind w:left="420" w:leftChars="200"/>
    </w:pPr>
  </w:style>
  <w:style w:type="paragraph" w:styleId="15">
    <w:name w:val="Normal (Web)"/>
    <w:basedOn w:val="1"/>
    <w:qFormat/>
    <w:uiPriority w:val="0"/>
    <w:rPr>
      <w:sz w:val="24"/>
    </w:r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正文-公1"/>
    <w:basedOn w:val="21"/>
    <w:next w:val="1"/>
    <w:qFormat/>
    <w:uiPriority w:val="0"/>
    <w:pPr>
      <w:ind w:firstLine="200" w:firstLineChars="200"/>
    </w:pPr>
  </w:style>
  <w:style w:type="paragraph" w:customStyle="1" w:styleId="21">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2">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3">
    <w:name w:val="Header Char"/>
    <w:basedOn w:val="17"/>
    <w:semiHidden/>
    <w:qFormat/>
    <w:uiPriority w:val="99"/>
    <w:rPr>
      <w:rFonts w:ascii="Times New Roman" w:hAnsi="Times New Roman"/>
      <w:sz w:val="18"/>
      <w:szCs w:val="18"/>
    </w:rPr>
  </w:style>
  <w:style w:type="character" w:customStyle="1" w:styleId="24">
    <w:name w:val="页眉 Char"/>
    <w:link w:val="11"/>
    <w:semiHidden/>
    <w:qFormat/>
    <w:locked/>
    <w:uiPriority w:val="99"/>
    <w:rPr>
      <w:sz w:val="18"/>
    </w:rPr>
  </w:style>
  <w:style w:type="character" w:customStyle="1" w:styleId="25">
    <w:name w:val="Footer Char"/>
    <w:basedOn w:val="17"/>
    <w:semiHidden/>
    <w:qFormat/>
    <w:uiPriority w:val="99"/>
    <w:rPr>
      <w:rFonts w:ascii="Times New Roman" w:hAnsi="Times New Roman"/>
      <w:sz w:val="18"/>
      <w:szCs w:val="18"/>
    </w:rPr>
  </w:style>
  <w:style w:type="character" w:customStyle="1" w:styleId="26">
    <w:name w:val="页脚 Char"/>
    <w:link w:val="10"/>
    <w:qFormat/>
    <w:locked/>
    <w:uiPriority w:val="99"/>
    <w:rPr>
      <w:sz w:val="18"/>
    </w:rPr>
  </w:style>
  <w:style w:type="character" w:customStyle="1" w:styleId="27">
    <w:name w:val="Body Text Char"/>
    <w:basedOn w:val="17"/>
    <w:semiHidden/>
    <w:qFormat/>
    <w:uiPriority w:val="99"/>
    <w:rPr>
      <w:rFonts w:ascii="Times New Roman" w:hAnsi="Times New Roman"/>
      <w:szCs w:val="24"/>
    </w:rPr>
  </w:style>
  <w:style w:type="character" w:customStyle="1" w:styleId="28">
    <w:name w:val="正文文本 Char"/>
    <w:link w:val="2"/>
    <w:qFormat/>
    <w:locked/>
    <w:uiPriority w:val="99"/>
    <w:rPr>
      <w:rFonts w:ascii="仿宋_GB2312" w:hAnsi="Times New Roman" w:eastAsia="仿宋_GB2312"/>
      <w:sz w:val="24"/>
    </w:rPr>
  </w:style>
  <w:style w:type="paragraph" w:customStyle="1" w:styleId="29">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0">
    <w:name w:val="List Paragraph"/>
    <w:basedOn w:val="1"/>
    <w:qFormat/>
    <w:uiPriority w:val="34"/>
    <w:pPr>
      <w:ind w:firstLine="420" w:firstLineChars="200"/>
    </w:pPr>
  </w:style>
  <w:style w:type="character" w:customStyle="1" w:styleId="31">
    <w:name w:val="标题 1 Char"/>
    <w:basedOn w:val="17"/>
    <w:link w:val="3"/>
    <w:qFormat/>
    <w:uiPriority w:val="9"/>
    <w:rPr>
      <w:rFonts w:ascii="Times New Roman" w:hAnsi="Times New Roman"/>
      <w:b/>
      <w:bCs/>
      <w:kern w:val="44"/>
      <w:sz w:val="44"/>
      <w:szCs w:val="44"/>
    </w:rPr>
  </w:style>
  <w:style w:type="character" w:customStyle="1" w:styleId="32">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3">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批注框文本 Char"/>
    <w:basedOn w:val="17"/>
    <w:link w:val="9"/>
    <w:semiHidden/>
    <w:qFormat/>
    <w:uiPriority w:val="99"/>
    <w:rPr>
      <w:rFonts w:ascii="Times New Roman" w:hAnsi="Times New Roman"/>
      <w:kern w:val="2"/>
      <w:sz w:val="18"/>
      <w:szCs w:val="18"/>
    </w:rPr>
  </w:style>
  <w:style w:type="character" w:customStyle="1" w:styleId="35">
    <w:name w:val="标题 3 Char"/>
    <w:basedOn w:val="17"/>
    <w:link w:val="5"/>
    <w:qFormat/>
    <w:uiPriority w:val="9"/>
    <w:rPr>
      <w:rFonts w:ascii="Times New Roman" w:hAnsi="Times New Roman"/>
      <w:b/>
      <w:bCs/>
      <w:kern w:val="2"/>
      <w:sz w:val="32"/>
      <w:szCs w:val="32"/>
    </w:rPr>
  </w:style>
  <w:style w:type="paragraph" w:customStyle="1" w:styleId="36">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7">
    <w:name w:val="四号正文"/>
    <w:basedOn w:val="1"/>
    <w:qFormat/>
    <w:uiPriority w:val="0"/>
    <w:pPr>
      <w:spacing w:line="360" w:lineRule="auto"/>
    </w:pPr>
    <w:rPr>
      <w:rFonts w:ascii="??" w:hAnsi="??" w:eastAsia="宋体"/>
      <w:color w:val="000000"/>
      <w:kern w:val="0"/>
      <w:sz w:val="28"/>
      <w:szCs w:val="21"/>
      <w:lang w:val="zh-CN" w:eastAsia="zh-CN"/>
    </w:rPr>
  </w:style>
  <w:style w:type="character" w:customStyle="1" w:styleId="38">
    <w:name w:val="标题 1 字符"/>
    <w:link w:val="3"/>
    <w:qFormat/>
    <w:uiPriority w:val="9"/>
    <w:rPr>
      <w:b/>
      <w:bCs/>
      <w:kern w:val="44"/>
      <w:sz w:val="44"/>
      <w:szCs w:val="44"/>
    </w:rPr>
  </w:style>
  <w:style w:type="character" w:customStyle="1" w:styleId="39">
    <w:name w:val="标题 2 字符"/>
    <w:link w:val="4"/>
    <w:qFormat/>
    <w:uiPriority w:val="9"/>
    <w:rPr>
      <w:rFonts w:ascii="Cambria" w:hAnsi="Cambria" w:eastAsia="宋体" w:cs="Times New Roman"/>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8.xml"/><Relationship Id="rId13" Type="http://schemas.openxmlformats.org/officeDocument/2006/relationships/chart" Target="charts/chart7.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024&#24180;&#20915;&#31639;&#20844;&#24320;&#36164;&#26009;\&#20915;&#31639;&#35745;&#31639;.xls"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024&#24180;&#20915;&#31639;&#20844;&#24320;&#36164;&#26009;\&#20915;&#31639;&#35745;&#31639;.xls"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istrator\Desktop\2024&#24180;&#20915;&#31639;&#20844;&#24320;&#36164;&#26009;\&#20915;&#31639;&#35745;&#31639;.xls"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024&#24180;&#20915;&#31639;&#20844;&#24320;&#36164;&#26009;\&#20915;&#31639;&#35745;&#31639;.xls"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024&#24180;&#20915;&#31639;&#20844;&#24320;&#36164;&#26009;\&#20915;&#31639;&#35745;&#31639;.xls"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024&#24180;&#20915;&#31639;&#20844;&#24320;&#36164;&#26009;\&#20915;&#31639;&#35745;&#31639;.xls"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C:\Users\Administrator\Desktop\2024&#24180;&#20915;&#31639;&#20844;&#24320;&#36164;&#26009;\&#20915;&#31639;&#35745;&#31639;.xls"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Desktop\2024&#24180;&#20915;&#31639;&#20844;&#24320;&#36164;&#26009;\&#20915;&#31639;&#35745;&#31639;.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收入、支出决算情况图</a:t>
            </a:r>
          </a:p>
        </c:rich>
      </c:tx>
      <c:layout/>
      <c:overlay val="0"/>
      <c:spPr>
        <a:noFill/>
        <a:ln>
          <a:noFill/>
        </a:ln>
        <a:effectLst/>
      </c:spPr>
    </c:title>
    <c:autoTitleDeleted val="0"/>
    <c:plotArea>
      <c:layout/>
      <c:barChart>
        <c:barDir val="col"/>
        <c:grouping val="clustered"/>
        <c:varyColors val="0"/>
        <c:ser>
          <c:idx val="0"/>
          <c:order val="0"/>
          <c:tx>
            <c:strRef>
              <c:f>[决算计算.xls]Sheet2!$A$2</c:f>
              <c:strCache>
                <c:ptCount val="1"/>
                <c:pt idx="0">
                  <c:v>收入总计</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[决算计算.xls]Sheet2!$B$1:$C$1</c:f>
              <c:strCache>
                <c:ptCount val="2"/>
                <c:pt idx="0">
                  <c:v>2023年</c:v>
                </c:pt>
                <c:pt idx="1">
                  <c:v>2024年</c:v>
                </c:pt>
              </c:strCache>
            </c:strRef>
          </c:cat>
          <c:val>
            <c:numRef>
              <c:f>[决算计算.xls]Sheet2!$B$2:$C$2</c:f>
              <c:numCache>
                <c:formatCode>General</c:formatCode>
                <c:ptCount val="2"/>
                <c:pt idx="0">
                  <c:v>4493.74</c:v>
                </c:pt>
                <c:pt idx="1">
                  <c:v>4196.39</c:v>
                </c:pt>
              </c:numCache>
            </c:numRef>
          </c:val>
        </c:ser>
        <c:ser>
          <c:idx val="1"/>
          <c:order val="1"/>
          <c:tx>
            <c:strRef>
              <c:f>[决算计算.xls]Sheet2!$A$3</c:f>
              <c:strCache>
                <c:ptCount val="1"/>
                <c:pt idx="0">
                  <c:v>支出总计</c:v>
                </c:pt>
              </c:strCache>
            </c:strRef>
          </c:tx>
          <c:spPr>
            <a:solidFill>
              <a:srgbClr val="C00000"/>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[决算计算.xls]Sheet2!$B$1:$C$1</c:f>
              <c:strCache>
                <c:ptCount val="2"/>
                <c:pt idx="0">
                  <c:v>2023年</c:v>
                </c:pt>
                <c:pt idx="1">
                  <c:v>2024年</c:v>
                </c:pt>
              </c:strCache>
            </c:strRef>
          </c:cat>
          <c:val>
            <c:numRef>
              <c:f>[决算计算.xls]Sheet2!$B$3:$C$3</c:f>
              <c:numCache>
                <c:formatCode>General</c:formatCode>
                <c:ptCount val="2"/>
                <c:pt idx="0">
                  <c:v>4493.74</c:v>
                </c:pt>
                <c:pt idx="1">
                  <c:v>4196.39</c:v>
                </c:pt>
              </c:numCache>
            </c:numRef>
          </c:val>
        </c:ser>
        <c:dLbls>
          <c:showLegendKey val="0"/>
          <c:showVal val="1"/>
          <c:showCatName val="0"/>
          <c:showSerName val="0"/>
          <c:showPercent val="0"/>
          <c:showBubbleSize val="0"/>
        </c:dLbls>
        <c:gapWidth val="246"/>
        <c:overlap val="-28"/>
        <c:axId val="822510467"/>
        <c:axId val="792515901"/>
      </c:barChart>
      <c:catAx>
        <c:axId val="82251046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92515901"/>
        <c:crosses val="autoZero"/>
        <c:auto val="1"/>
        <c:lblAlgn val="ctr"/>
        <c:lblOffset val="100"/>
        <c:noMultiLvlLbl val="0"/>
      </c:catAx>
      <c:valAx>
        <c:axId val="792515901"/>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22510467"/>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682aae41-a9a0-427f-8bb6-94fdf64f75f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altLang="en-US"/>
              <a:t>收入决算结构图</a:t>
            </a:r>
            <a:endParaRPr lang="en-US" altLang="zh-CN"/>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[决算计算.xls]Sheet2!$B$16:$E$16</c:f>
              <c:strCache>
                <c:ptCount val="4"/>
                <c:pt idx="0">
                  <c:v>2024年总收入</c:v>
                </c:pt>
                <c:pt idx="1">
                  <c:v>一般公共预算财政拨款收入</c:v>
                </c:pt>
                <c:pt idx="2">
                  <c:v>事业收入</c:v>
                </c:pt>
                <c:pt idx="3">
                  <c:v>其他收入</c:v>
                </c:pt>
              </c:strCache>
            </c:strRef>
          </c:cat>
          <c:val>
            <c:numRef>
              <c:f>[决算计算.xls]Sheet2!$B$17:$E$17</c:f>
              <c:numCache>
                <c:formatCode>General</c:formatCode>
                <c:ptCount val="4"/>
                <c:pt idx="0">
                  <c:v>4196.39</c:v>
                </c:pt>
                <c:pt idx="1" c:formatCode="#,##0.00">
                  <c:v>3704.67</c:v>
                </c:pt>
                <c:pt idx="2">
                  <c:v>92.01</c:v>
                </c:pt>
                <c:pt idx="3">
                  <c:v>399.7</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44cb2f10-06e1-4e91-8a21-542bf636a67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财政拨款收、支决算总计变动情况</a:t>
            </a:r>
          </a:p>
        </c:rich>
      </c:tx>
      <c:layout/>
      <c:overlay val="0"/>
      <c:spPr>
        <a:noFill/>
        <a:ln>
          <a:noFill/>
        </a:ln>
        <a:effectLst/>
      </c:spPr>
    </c:title>
    <c:autoTitleDeleted val="0"/>
    <c:plotArea>
      <c:layout/>
      <c:barChart>
        <c:barDir val="col"/>
        <c:grouping val="clustered"/>
        <c:varyColors val="0"/>
        <c:ser>
          <c:idx val="0"/>
          <c:order val="0"/>
          <c:tx>
            <c:strRef>
              <c:f>[决算计算.xls]Sheet2!$A$50</c:f>
              <c:strCache>
                <c:ptCount val="1"/>
                <c:pt idx="0">
                  <c:v>财政拨款收入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[决算计算.xls]Sheet2!$B$49:$C$49</c:f>
              <c:numCache>
                <c:formatCode>General</c:formatCode>
                <c:ptCount val="2"/>
                <c:pt idx="0">
                  <c:v>2023</c:v>
                </c:pt>
                <c:pt idx="1">
                  <c:v>2024</c:v>
                </c:pt>
              </c:numCache>
            </c:numRef>
          </c:cat>
          <c:val>
            <c:numRef>
              <c:f>[决算计算.xls]Sheet2!$B$50:$C$50</c:f>
              <c:numCache>
                <c:formatCode>#,##0.00</c:formatCode>
                <c:ptCount val="2"/>
                <c:pt idx="0">
                  <c:v>4054.71</c:v>
                </c:pt>
                <c:pt idx="1" c:formatCode="General">
                  <c:v>3704.67</c:v>
                </c:pt>
              </c:numCache>
            </c:numRef>
          </c:val>
        </c:ser>
        <c:ser>
          <c:idx val="1"/>
          <c:order val="1"/>
          <c:tx>
            <c:strRef>
              <c:f>[决算计算.xls]Sheet2!$A$51</c:f>
              <c:strCache>
                <c:ptCount val="1"/>
                <c:pt idx="0">
                  <c:v>财政拨款支出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[决算计算.xls]Sheet2!$B$49:$C$49</c:f>
              <c:numCache>
                <c:formatCode>General</c:formatCode>
                <c:ptCount val="2"/>
                <c:pt idx="0">
                  <c:v>2023</c:v>
                </c:pt>
                <c:pt idx="1">
                  <c:v>2024</c:v>
                </c:pt>
              </c:numCache>
            </c:numRef>
          </c:cat>
          <c:val>
            <c:numRef>
              <c:f>[决算计算.xls]Sheet2!$B$51:$C$51</c:f>
              <c:numCache>
                <c:formatCode>#,##0.00</c:formatCode>
                <c:ptCount val="2"/>
                <c:pt idx="0">
                  <c:v>4054.71</c:v>
                </c:pt>
                <c:pt idx="1" c:formatCode="General">
                  <c:v>3704.67</c:v>
                </c:pt>
              </c:numCache>
            </c:numRef>
          </c:val>
        </c:ser>
        <c:dLbls>
          <c:showLegendKey val="0"/>
          <c:showVal val="1"/>
          <c:showCatName val="0"/>
          <c:showSerName val="0"/>
          <c:showPercent val="0"/>
          <c:showBubbleSize val="0"/>
        </c:dLbls>
        <c:gapWidth val="246"/>
        <c:overlap val="-28"/>
        <c:axId val="176068255"/>
        <c:axId val="944809545"/>
      </c:barChart>
      <c:catAx>
        <c:axId val="17606825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44809545"/>
        <c:crosses val="autoZero"/>
        <c:auto val="1"/>
        <c:lblAlgn val="ctr"/>
        <c:lblOffset val="100"/>
        <c:noMultiLvlLbl val="0"/>
      </c:catAx>
      <c:valAx>
        <c:axId val="944809545"/>
        <c:scaling>
          <c:orientation val="minMax"/>
        </c:scaling>
        <c:delete val="0"/>
        <c:axPos val="l"/>
        <c:majorGridlines>
          <c:spPr>
            <a:ln w="9525" cap="flat" cmpd="sng" algn="ctr">
              <a:solidFill>
                <a:schemeClr val="lt1">
                  <a:lumMod val="90200"/>
                </a:schemeClr>
              </a:solidFill>
              <a:round/>
            </a:ln>
            <a:effectLst/>
          </c:spPr>
        </c:majorGridlines>
        <c:numFmt formatCode="#,##0.0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606825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9a3a319e-de8b-47a5-b817-c556cec35642}"/>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altLang="en-US"/>
              <a:t>支出决算结构图</a:t>
            </a:r>
            <a:endParaRPr lang="en-US" altLang="zh-CN"/>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rgbClr val="C00000"/>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[决算计算.xls]Sheet2!$C$32:$D$32</c:f>
              <c:strCache>
                <c:ptCount val="2"/>
                <c:pt idx="0">
                  <c:v>基本支出</c:v>
                </c:pt>
                <c:pt idx="1">
                  <c:v>项目支出</c:v>
                </c:pt>
              </c:strCache>
            </c:strRef>
          </c:cat>
          <c:val>
            <c:numRef>
              <c:f>[决算计算.xls]Sheet2!$C$33:$D$33</c:f>
              <c:numCache>
                <c:formatCode>#,##0.00</c:formatCode>
                <c:ptCount val="2"/>
                <c:pt idx="0">
                  <c:v>2394.48</c:v>
                </c:pt>
                <c:pt idx="1">
                  <c:v>1801.9</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1a1ba55-9f1d-4fa6-98b6-9f59a9c352ef}"/>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财政拨款收、支决算总计变动情况</a:t>
            </a:r>
          </a:p>
        </c:rich>
      </c:tx>
      <c:layout/>
      <c:overlay val="0"/>
      <c:spPr>
        <a:noFill/>
        <a:ln>
          <a:noFill/>
        </a:ln>
        <a:effectLst/>
      </c:spPr>
    </c:title>
    <c:autoTitleDeleted val="0"/>
    <c:plotArea>
      <c:layout/>
      <c:barChart>
        <c:barDir val="col"/>
        <c:grouping val="clustered"/>
        <c:varyColors val="0"/>
        <c:ser>
          <c:idx val="0"/>
          <c:order val="0"/>
          <c:tx>
            <c:strRef>
              <c:f>[决算计算.xls]Sheet2!$A$50</c:f>
              <c:strCache>
                <c:ptCount val="1"/>
                <c:pt idx="0">
                  <c:v>财政拨款收入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[决算计算.xls]Sheet2!$B$49:$C$49</c:f>
              <c:numCache>
                <c:formatCode>General</c:formatCode>
                <c:ptCount val="2"/>
                <c:pt idx="0">
                  <c:v>2023</c:v>
                </c:pt>
                <c:pt idx="1">
                  <c:v>2024</c:v>
                </c:pt>
              </c:numCache>
            </c:numRef>
          </c:cat>
          <c:val>
            <c:numRef>
              <c:f>[决算计算.xls]Sheet2!$B$50:$C$50</c:f>
              <c:numCache>
                <c:formatCode>#,##0.00</c:formatCode>
                <c:ptCount val="2"/>
                <c:pt idx="0">
                  <c:v>4054.71</c:v>
                </c:pt>
                <c:pt idx="1" c:formatCode="General">
                  <c:v>3704.67</c:v>
                </c:pt>
              </c:numCache>
            </c:numRef>
          </c:val>
        </c:ser>
        <c:ser>
          <c:idx val="1"/>
          <c:order val="1"/>
          <c:tx>
            <c:strRef>
              <c:f>[决算计算.xls]Sheet2!$A$51</c:f>
              <c:strCache>
                <c:ptCount val="1"/>
                <c:pt idx="0">
                  <c:v>财政拨款支出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[决算计算.xls]Sheet2!$B$49:$C$49</c:f>
              <c:numCache>
                <c:formatCode>General</c:formatCode>
                <c:ptCount val="2"/>
                <c:pt idx="0">
                  <c:v>2023</c:v>
                </c:pt>
                <c:pt idx="1">
                  <c:v>2024</c:v>
                </c:pt>
              </c:numCache>
            </c:numRef>
          </c:cat>
          <c:val>
            <c:numRef>
              <c:f>[决算计算.xls]Sheet2!$B$51:$C$51</c:f>
              <c:numCache>
                <c:formatCode>#,##0.00</c:formatCode>
                <c:ptCount val="2"/>
                <c:pt idx="0">
                  <c:v>4054.71</c:v>
                </c:pt>
                <c:pt idx="1" c:formatCode="General">
                  <c:v>3704.67</c:v>
                </c:pt>
              </c:numCache>
            </c:numRef>
          </c:val>
        </c:ser>
        <c:dLbls>
          <c:showLegendKey val="0"/>
          <c:showVal val="1"/>
          <c:showCatName val="0"/>
          <c:showSerName val="0"/>
          <c:showPercent val="0"/>
          <c:showBubbleSize val="0"/>
        </c:dLbls>
        <c:gapWidth val="246"/>
        <c:overlap val="-28"/>
        <c:axId val="176068255"/>
        <c:axId val="944809545"/>
      </c:barChart>
      <c:catAx>
        <c:axId val="17606825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44809545"/>
        <c:crosses val="autoZero"/>
        <c:auto val="1"/>
        <c:lblAlgn val="ctr"/>
        <c:lblOffset val="100"/>
        <c:noMultiLvlLbl val="0"/>
      </c:catAx>
      <c:valAx>
        <c:axId val="944809545"/>
        <c:scaling>
          <c:orientation val="minMax"/>
        </c:scaling>
        <c:delete val="0"/>
        <c:axPos val="l"/>
        <c:majorGridlines>
          <c:spPr>
            <a:ln w="9525" cap="flat" cmpd="sng" algn="ctr">
              <a:solidFill>
                <a:schemeClr val="lt1">
                  <a:lumMod val="90200"/>
                </a:schemeClr>
              </a:solidFill>
              <a:round/>
            </a:ln>
            <a:effectLst/>
          </c:spPr>
        </c:majorGridlines>
        <c:numFmt formatCode="#,##0.0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606825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a97cd753-91b8-4fa2-9f9d-853b1a17c45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barChart>
        <c:barDir val="col"/>
        <c:grouping val="clustered"/>
        <c:varyColors val="0"/>
        <c:ser>
          <c:idx val="0"/>
          <c:order val="0"/>
          <c:tx>
            <c:strRef>
              <c:f>[决算计算.xls]Sheet2!$A$61</c:f>
              <c:strCache>
                <c:ptCount val="1"/>
                <c:pt idx="0">
                  <c:v>一般公共预算财政拨款支出</c:v>
                </c:pt>
              </c:strCache>
            </c:strRef>
          </c:tx>
          <c:spPr>
            <a:solidFill>
              <a:schemeClr val="accent1"/>
            </a:solidFill>
            <a:ln>
              <a:noFill/>
            </a:ln>
            <a:effectLst/>
          </c:spPr>
          <c:invertIfNegative val="0"/>
          <c:dPt>
            <c:idx val="1"/>
            <c:invertIfNegative val="0"/>
            <c:bubble3D val="0"/>
            <c:spPr>
              <a:solidFill>
                <a:srgbClr val="C00000"/>
              </a:solidFill>
              <a:ln>
                <a:no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[决算计算.xls]Sheet2!$B$60:$C$60</c:f>
              <c:numCache>
                <c:formatCode>General</c:formatCode>
                <c:ptCount val="2"/>
                <c:pt idx="0">
                  <c:v>2023</c:v>
                </c:pt>
                <c:pt idx="1">
                  <c:v>2024</c:v>
                </c:pt>
              </c:numCache>
            </c:numRef>
          </c:cat>
          <c:val>
            <c:numRef>
              <c:f>[决算计算.xls]Sheet2!$B$61:$C$61</c:f>
              <c:numCache>
                <c:formatCode>General</c:formatCode>
                <c:ptCount val="2"/>
                <c:pt idx="0">
                  <c:v>4054.71</c:v>
                </c:pt>
                <c:pt idx="1">
                  <c:v>3704.67</c:v>
                </c:pt>
              </c:numCache>
            </c:numRef>
          </c:val>
        </c:ser>
        <c:dLbls>
          <c:showLegendKey val="0"/>
          <c:showVal val="1"/>
          <c:showCatName val="0"/>
          <c:showSerName val="0"/>
          <c:showPercent val="0"/>
          <c:showBubbleSize val="0"/>
        </c:dLbls>
        <c:gapWidth val="246"/>
        <c:overlap val="-28"/>
        <c:axId val="65502915"/>
        <c:axId val="524215891"/>
      </c:barChart>
      <c:catAx>
        <c:axId val="6550291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4215891"/>
        <c:crosses val="autoZero"/>
        <c:auto val="1"/>
        <c:lblAlgn val="ctr"/>
        <c:lblOffset val="100"/>
        <c:noMultiLvlLbl val="0"/>
      </c:catAx>
      <c:valAx>
        <c:axId val="524215891"/>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550291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7e2e6a60-301e-4669-9905-fdceb05a663e}"/>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一般公共预算财政拨款支出决算结构</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[决算计算.xls]Sheet2!$C$66:$F$66</c:f>
              <c:strCache>
                <c:ptCount val="4"/>
                <c:pt idx="0">
                  <c:v>教育支出</c:v>
                </c:pt>
                <c:pt idx="1">
                  <c:v>社会保障和就业支出</c:v>
                </c:pt>
                <c:pt idx="2">
                  <c:v>卫生健康支出</c:v>
                </c:pt>
                <c:pt idx="3">
                  <c:v>住房保障支出</c:v>
                </c:pt>
              </c:strCache>
            </c:strRef>
          </c:cat>
          <c:val>
            <c:numRef>
              <c:f>[决算计算.xls]Sheet2!$C$67:$F$67</c:f>
              <c:numCache>
                <c:formatCode>General</c:formatCode>
                <c:ptCount val="4"/>
                <c:pt idx="0">
                  <c:v>2844.45</c:v>
                </c:pt>
                <c:pt idx="1">
                  <c:v>550.52</c:v>
                </c:pt>
                <c:pt idx="2">
                  <c:v>150.88</c:v>
                </c:pt>
                <c:pt idx="3">
                  <c:v>158.83</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cbaddbe-667b-4717-af9a-1f637d66c4c4}"/>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“三公”经费财政拨款支出</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[决算计算.xls]Sheet2!$C$70:$E$70</c:f>
              <c:strCache>
                <c:ptCount val="3"/>
                <c:pt idx="0">
                  <c:v>公务用车购置及运行维护费支出</c:v>
                </c:pt>
                <c:pt idx="1">
                  <c:v>公务接待费支出</c:v>
                </c:pt>
                <c:pt idx="2">
                  <c:v>因公出国（境）费支出</c:v>
                </c:pt>
              </c:strCache>
            </c:strRef>
          </c:cat>
          <c:val>
            <c:numRef>
              <c:f>[决算计算.xls]Sheet2!$C$71:$E$71</c:f>
              <c:numCache>
                <c:formatCode>General</c:formatCode>
                <c:ptCount val="3"/>
                <c:pt idx="0">
                  <c:v>7.2</c:v>
                </c:pt>
                <c:pt idx="1">
                  <c:v>0.15</c:v>
                </c:pt>
                <c:pt idx="2">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8326dfa-02b3-4d6d-badd-e894b3f7177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60</Pages>
  <Words>4359</Words>
  <Characters>5091</Characters>
  <Lines>61</Lines>
  <Paragraphs>17</Paragraphs>
  <TotalTime>2</TotalTime>
  <ScaleCrop>false</ScaleCrop>
  <LinksUpToDate>false</LinksUpToDate>
  <CharactersWithSpaces>5169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*^O^*☞</cp:lastModifiedBy>
  <cp:lastPrinted>2025-08-06T17:34:00Z</cp:lastPrinted>
  <dcterms:modified xsi:type="dcterms:W3CDTF">2025-09-24T01:17:35Z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1859F92B21C240AD9593C47FC527A08E_13</vt:lpwstr>
  </property>
  <property fmtid="{D5CDD505-2E9C-101B-9397-08002B2CF9AE}" pid="4" name="KSOTemplateDocerSaveRecord">
    <vt:lpwstr>eyJoZGlkIjoiMGU0MGE0NjBjNDJjMTgwNmUwYjVhNWNmZDgzZWFlNjQiLCJ1c2VySWQiOiIzOTY5OTcxMzcifQ==</vt:lpwstr>
  </property>
</Properties>
</file>